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463040" cy="254969"/>
            <wp:effectExtent b="0" l="0" r="0" t="0"/>
            <wp:docPr descr="" title="" id="21" name="Picture"/>
            <a:graphic>
              <a:graphicData uri="http://schemas.openxmlformats.org/drawingml/2006/picture">
                <pic:pic>
                  <pic:nvPicPr>
                    <pic:cNvPr descr="iden2_logo.png" id="22" name="Picture"/>
                    <pic:cNvPicPr>
                      <a:picLocks noChangeArrowheads="1" noChangeAspect="1"/>
                    </pic:cNvPicPr>
                  </pic:nvPicPr>
                  <pic:blipFill>
                    <a:blip r:embed="rId20"/>
                    <a:stretch>
                      <a:fillRect/>
                    </a:stretch>
                  </pic:blipFill>
                  <pic:spPr bwMode="auto">
                    <a:xfrm>
                      <a:off x="0" y="0"/>
                      <a:ext cx="1463040" cy="254969"/>
                    </a:xfrm>
                    <a:prstGeom prst="rect">
                      <a:avLst/>
                    </a:prstGeom>
                    <a:noFill/>
                    <a:ln w="9525">
                      <a:noFill/>
                      <a:headEnd/>
                      <a:tailEnd/>
                    </a:ln>
                  </pic:spPr>
                </pic:pic>
              </a:graphicData>
            </a:graphic>
          </wp:inline>
        </w:drawing>
      </w:r>
    </w:p>
    <w:bookmarkStart w:id="23" w:name="end-customer-terms-partner-sold-deals"/>
    <w:p>
      <w:pPr>
        <w:pStyle w:val="Heading1"/>
      </w:pPr>
      <w:r>
        <w:t xml:space="preserve">END CUSTOMER TERMS (PARTNER-SOLD DEALS)</w:t>
      </w:r>
    </w:p>
    <w:p>
      <w:pPr>
        <w:pStyle w:val="FirstParagraph"/>
      </w:pPr>
      <w:r>
        <w:rPr>
          <w:bCs/>
          <w:b/>
        </w:rPr>
        <w:t xml:space="preserve">iDen2 Inc. and [END CUSTOMER LEGAL NAME]</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Reference</w:t>
            </w:r>
          </w:p>
        </w:tc>
        <w:tc>
          <w:tcPr>
            <w:tcW w:type="dxa" w:w="6624"/>
          </w:tcPr>
          <w:p>
            <w:pPr>
              <w:pStyle w:val="Compact"/>
              <w:spacing w:after="20" w:before="20"/>
              <w:jc w:val="left"/>
            </w:pPr>
            <w:r>
              <w:rPr>
                <w:rFonts w:ascii="Calibri" w:hAnsi="Calibri"/>
                <w:sz w:val="19"/>
              </w:rPr>
              <w:t xml:space="preserve">iDen2-[CUSTOMER CODE]-ECT-[YYYY]-[###]</w:t>
            </w:r>
          </w:p>
        </w:tc>
      </w:tr>
      <w:tr>
        <w:tc>
          <w:tcPr>
            <w:tcW w:type="dxa" w:w="2736"/>
            <w:shd w:val="clear" w:color="auto" w:fill="F4F5F7"/>
          </w:tcPr>
          <w:p>
            <w:pPr>
              <w:pStyle w:val="Compact"/>
              <w:spacing w:after="20" w:before="20"/>
              <w:jc w:val="left"/>
            </w:pPr>
            <w:r>
              <w:rPr>
                <w:bCs/>
                <w:rFonts w:ascii="Calibri" w:hAnsi="Calibri"/>
                <w:b/>
                <w:sz w:val="19"/>
              </w:rPr>
              <w:t xml:space="preserve">Effective Date</w:t>
            </w:r>
          </w:p>
        </w:tc>
        <w:tc>
          <w:tcPr>
            <w:tcW w:type="dxa" w:w="6624"/>
          </w:tcPr>
          <w:p>
            <w:pPr>
              <w:pStyle w:val="Compact"/>
              <w:spacing w:after="20" w:before="20"/>
              <w:jc w:val="left"/>
            </w:pPr>
            <w:r>
              <w:rPr>
                <w:rFonts w:ascii="Calibri" w:hAnsi="Calibri"/>
                <w:sz w:val="19"/>
              </w:rPr>
              <w:t xml:space="preserve">[DATE]</w:t>
            </w:r>
          </w:p>
        </w:tc>
      </w:tr>
      <w:tr>
        <w:tc>
          <w:tcPr>
            <w:tcW w:type="dxa" w:w="2736"/>
            <w:shd w:val="clear" w:color="auto" w:fill="F4F5F7"/>
          </w:tcPr>
          <w:p>
            <w:pPr>
              <w:pStyle w:val="Compact"/>
              <w:spacing w:after="20" w:before="20"/>
              <w:jc w:val="left"/>
            </w:pPr>
            <w:r>
              <w:rPr>
                <w:bCs/>
                <w:rFonts w:ascii="Calibri" w:hAnsi="Calibri"/>
                <w:b/>
                <w:sz w:val="19"/>
              </w:rPr>
              <w:t xml:space="preserve">Partner (reseller)</w:t>
            </w:r>
          </w:p>
        </w:tc>
        <w:tc>
          <w:tcPr>
            <w:tcW w:type="dxa" w:w="6624"/>
          </w:tcPr>
          <w:p>
            <w:pPr>
              <w:pStyle w:val="Compact"/>
              <w:spacing w:after="20" w:before="20"/>
              <w:jc w:val="left"/>
            </w:pPr>
            <w:r>
              <w:rPr>
                <w:rFonts w:ascii="Calibri" w:hAnsi="Calibri"/>
                <w:sz w:val="19"/>
              </w:rPr>
              <w:t xml:space="preserve">[PARTNER LEGAL NAME] (the</w:t>
            </w:r>
            <w:r>
              <w:rPr>
                <w:rFonts w:ascii="Calibri" w:hAnsi="Calibri"/>
                <w:sz w:val="19"/>
              </w:rPr>
              <w:t xml:space="preserve"> </w:t>
            </w:r>
            <w:r>
              <w:rPr>
                <w:rFonts w:ascii="Calibri" w:hAnsi="Calibri"/>
                <w:sz w:val="19"/>
              </w:rPr>
              <w:t xml:space="preserve">“</w:t>
            </w:r>
            <w:r>
              <w:rPr>
                <w:bCs/>
                <w:rFonts w:ascii="Calibri" w:hAnsi="Calibri"/>
                <w:b/>
                <w:sz w:val="19"/>
              </w:rPr>
              <w:t xml:space="preserve">Partner</w:t>
            </w:r>
            <w:r>
              <w:rPr>
                <w:rFonts w:ascii="Calibri" w:hAnsi="Calibri"/>
                <w:sz w:val="19"/>
              </w:rPr>
              <w:t xml:space="preserve">”</w:t>
            </w:r>
            <w:r>
              <w:rPr>
                <w:rFonts w:ascii="Calibri" w:hAnsi="Calibri"/>
                <w:sz w:val="19"/>
              </w:rPr>
              <w:t xml:space="preserve">)</w:t>
            </w:r>
          </w:p>
        </w:tc>
      </w:tr>
      <w:tr>
        <w:tc>
          <w:tcPr>
            <w:tcW w:type="dxa" w:w="2736"/>
            <w:shd w:val="clear" w:color="auto" w:fill="F4F5F7"/>
          </w:tcPr>
          <w:p>
            <w:pPr>
              <w:pStyle w:val="Compact"/>
              <w:spacing w:after="20" w:before="20"/>
              <w:jc w:val="left"/>
            </w:pPr>
            <w:r>
              <w:rPr>
                <w:bCs/>
                <w:rFonts w:ascii="Calibri" w:hAnsi="Calibri"/>
                <w:b/>
                <w:sz w:val="19"/>
              </w:rPr>
              <w:t xml:space="preserve">Partner order</w:t>
            </w:r>
          </w:p>
        </w:tc>
        <w:tc>
          <w:tcPr>
            <w:tcW w:type="dxa" w:w="6624"/>
          </w:tcPr>
          <w:p>
            <w:pPr>
              <w:pStyle w:val="Compact"/>
              <w:spacing w:after="20" w:before="20"/>
              <w:jc w:val="left"/>
            </w:pPr>
            <w:r>
              <w:rPr>
                <w:rFonts w:ascii="Calibri" w:hAnsi="Calibri"/>
                <w:sz w:val="19"/>
              </w:rPr>
              <w:t xml:space="preserve">[PARTNER ORDER / QUOTE REF]</w:t>
            </w:r>
          </w:p>
        </w:tc>
      </w:tr>
      <w:tr>
        <w:tc>
          <w:tcPr>
            <w:tcW w:type="dxa" w:w="2736"/>
            <w:shd w:val="clear" w:color="auto" w:fill="F4F5F7"/>
          </w:tcPr>
          <w:p>
            <w:pPr>
              <w:pStyle w:val="Compact"/>
              <w:spacing w:after="20" w:before="20"/>
              <w:jc w:val="left"/>
            </w:pPr>
            <w:r>
              <w:rPr>
                <w:bCs/>
                <w:rFonts w:ascii="Calibri" w:hAnsi="Calibri"/>
                <w:b/>
                <w:sz w:val="19"/>
              </w:rPr>
              <w:t xml:space="preserve">Classification</w:t>
            </w:r>
          </w:p>
        </w:tc>
        <w:tc>
          <w:tcPr>
            <w:tcW w:type="dxa" w:w="6624"/>
          </w:tcPr>
          <w:p>
            <w:pPr>
              <w:pStyle w:val="Compact"/>
              <w:spacing w:after="20" w:before="20"/>
              <w:jc w:val="left"/>
            </w:pPr>
            <w:r>
              <w:rPr>
                <w:rFonts w:ascii="Calibri" w:hAnsi="Calibri"/>
                <w:sz w:val="19"/>
              </w:rPr>
              <w:t xml:space="preserve">CONFIDENTIAL</w:t>
            </w:r>
          </w:p>
        </w:tc>
      </w:tr>
    </w:tbl>
    <w:p>
      <w:pPr>
        <w:pStyle w:val="BlockText"/>
      </w:pPr>
      <w:r>
        <w:rPr>
          <w:bCs/>
          <w:b/>
        </w:rPr>
        <w:t xml:space="preserve">Drafting note (delete before sending):</w:t>
      </w:r>
      <w:r>
        <w:t xml:space="preserve"> </w:t>
      </w:r>
      <w:r>
        <w:t xml:space="preserve">Use when a reseller, VAR, or distributor sells iDen2 and the end customer buys from the partner, so the end customer has no price contract with iDen2. The end customer still needs a direct contract with iDen2 that protects iDen2’s software, limits iDen2’s liability, and covers data protection. This is that short contract. Fees and commercial terms stay between the end customer and the Partner. The Partner’s agreement with iDen2 (VAR Agreement) must require the Partner to get this signed, or to flow down terms at least as protective, before delivering. Never let a Partner give warranties or promises on iDen2’s behalf beyond these terms.</w:t>
      </w:r>
    </w:p>
    <w:bookmarkEnd w:id="23"/>
    <w:bookmarkStart w:id="24" w:name="what-this-is"/>
    <w:p>
      <w:pPr>
        <w:pStyle w:val="Heading1"/>
      </w:pPr>
      <w:r>
        <w:t xml:space="preserve">1. WHAT THIS IS</w:t>
      </w:r>
    </w:p>
    <w:p>
      <w:pPr>
        <w:pStyle w:val="FirstParagraph"/>
      </w:pPr>
      <w:r>
        <w:t xml:space="preserve">The End Customer ordered iDen2 software and services from the Partner. This document sets the terms between iDen2 and the End Customer for use of the iDen2 Platform. The price, payment, and delivery terms are between the End Customer and the Partner. iDen2 is not responsible for the Partner’s promises or acts.</w:t>
      </w:r>
    </w:p>
    <w:bookmarkEnd w:id="24"/>
    <w:bookmarkStart w:id="25" w:name="terms-that-apply"/>
    <w:p>
      <w:pPr>
        <w:pStyle w:val="Heading1"/>
      </w:pPr>
      <w:r>
        <w:t xml:space="preserve">2. TERMS THAT APPLY</w:t>
      </w:r>
    </w:p>
    <w:p>
      <w:pPr>
        <w:pStyle w:val="FirstParagraph"/>
      </w:pPr>
      <w:r>
        <w:rPr>
          <w:bCs/>
          <w:b/>
        </w:rPr>
        <w:t xml:space="preserve">2.1 Master terms.</w:t>
      </w:r>
      <w:r>
        <w:t xml:space="preserve"> </w:t>
      </w:r>
      <w:r>
        <w:t xml:space="preserve">iDen2’s Master Services Agreement (Template 03) applies to the End Customer as</w:t>
      </w:r>
      <w:r>
        <w:t xml:space="preserve"> </w:t>
      </w:r>
      <w:r>
        <w:t xml:space="preserve">“</w:t>
      </w:r>
      <w:r>
        <w:t xml:space="preserve">Customer</w:t>
      </w:r>
      <w:r>
        <w:t xml:space="preserve">”</w:t>
      </w:r>
      <w:r>
        <w:t xml:space="preserve"> </w:t>
      </w:r>
      <w:r>
        <w:t xml:space="preserve">with these changes. The MSA and the following are attached or linked: [MSA version/date]. Where the MSA refers to an Order Form, the Partner’s order is the Order Form for the Platform modules, quantities, and term, but only the following apply from it: modules, quantities and limits, term, hosting region, and options chosen.</w:t>
      </w:r>
    </w:p>
    <w:p>
      <w:pPr>
        <w:pStyle w:val="BodyText"/>
      </w:pPr>
      <w:r>
        <w:rPr>
          <w:bCs/>
          <w:b/>
        </w:rPr>
        <w:t xml:space="preserve">2.2 Fees.</w:t>
      </w:r>
      <w:r>
        <w:t xml:space="preserve"> </w:t>
      </w:r>
      <w:r>
        <w:t xml:space="preserve">The End Customer pays the Partner the fees agreed with it. iDen2 is not a party to those arrangements. MSA Article 7 (Fees and Payment) does not apply, except that if the Partner does not pay iDen2 for the End Customer’s order, iDen2 may suspend access after 30 days’ notice to the End Customer and the Partner, and may offer the End Customer a direct contract to continue.</w:t>
      </w:r>
    </w:p>
    <w:p>
      <w:pPr>
        <w:pStyle w:val="BodyText"/>
      </w:pPr>
      <w:r>
        <w:rPr>
          <w:bCs/>
          <w:b/>
        </w:rPr>
        <w:t xml:space="preserve">2.3 Support.</w:t>
      </w:r>
      <w:r>
        <w:t xml:space="preserve"> </w:t>
      </w:r>
      <w:r>
        <w:t xml:space="preserve">The Partner gives first-line support to the End Customer. iDen2 gives second-line support to the Partner, and may give direct support to the End Customer as the Service Levels and Support Policy allows [if the order includes iDen2-direct support].</w:t>
      </w:r>
    </w:p>
    <w:p>
      <w:pPr>
        <w:pStyle w:val="BodyText"/>
      </w:pPr>
      <w:r>
        <w:rPr>
          <w:bCs/>
          <w:b/>
        </w:rPr>
        <w:t xml:space="preserve">2.4 Service credits and refunds.</w:t>
      </w:r>
      <w:r>
        <w:t xml:space="preserve"> </w:t>
      </w:r>
      <w:r>
        <w:t xml:space="preserve">Any credits or refunds owed under the MSA or the Service Levels are given by iDen2 through the Partner, as a credit on the Partner’s next invoice, which the Partner passes on.</w:t>
      </w:r>
    </w:p>
    <w:p>
      <w:pPr>
        <w:pStyle w:val="BodyText"/>
      </w:pPr>
      <w:r>
        <w:rPr>
          <w:bCs/>
          <w:b/>
        </w:rPr>
        <w:t xml:space="preserve">2.5 Liability.</w:t>
      </w:r>
      <w:r>
        <w:t xml:space="preserve"> </w:t>
      </w:r>
      <w:r>
        <w:t xml:space="preserve">MSA Article 15 applies. The cap in MSA Section 15.2 is based on the fees that iDen2 receives from the Partner for the End Customer’s order in the 12 months before the claim, not the fees paid by the End Customer to the Partner.</w:t>
      </w:r>
    </w:p>
    <w:p>
      <w:pPr>
        <w:pStyle w:val="BodyText"/>
      </w:pPr>
      <w:r>
        <w:rPr>
          <w:bCs/>
          <w:b/>
        </w:rPr>
        <w:t xml:space="preserve">2.6 Data protection.</w:t>
      </w:r>
      <w:r>
        <w:t xml:space="preserve"> </w:t>
      </w:r>
      <w:r>
        <w:t xml:space="preserve">If iDen2 processes Personal Data for the End Customer, the Data Processing Addendum (Template 08) applies between iDen2 and the End Customer. The Partner may be a sub-processor if the Partner also accesses the data, and in that case the Partner must be listed in Annex 3.</w:t>
      </w:r>
    </w:p>
    <w:p>
      <w:pPr>
        <w:pStyle w:val="BodyText"/>
      </w:pPr>
      <w:r>
        <w:rPr>
          <w:bCs/>
          <w:b/>
        </w:rPr>
        <w:t xml:space="preserve">2.7 What the Partner cannot do.</w:t>
      </w:r>
      <w:r>
        <w:t xml:space="preserve"> </w:t>
      </w:r>
      <w:r>
        <w:t xml:space="preserve">The Partner has no authority to change these terms, give warranties for iDen2, or promise features, service levels, or timelines for iDen2. Any promise by the Partner that is not in these terms is the Partner’s alone.</w:t>
      </w:r>
    </w:p>
    <w:p>
      <w:pPr>
        <w:pStyle w:val="BodyText"/>
      </w:pPr>
      <w:r>
        <w:rPr>
          <w:bCs/>
          <w:b/>
        </w:rPr>
        <w:t xml:space="preserve">2.8 Termination of the Partner.</w:t>
      </w:r>
      <w:r>
        <w:t xml:space="preserve"> </w:t>
      </w:r>
      <w:r>
        <w:t xml:space="preserve">If the Partner’s agreement with iDen2 ends, the End Customer’s rights for the current paid term continue on these terms. iDen2 will tell the End Customer, and may offer to continue directly or through a new Partner.</w:t>
      </w:r>
    </w:p>
    <w:p>
      <w:pPr>
        <w:pStyle w:val="BodyText"/>
      </w:pPr>
      <w:r>
        <w:rPr>
          <w:bCs/>
          <w:b/>
        </w:rPr>
        <w:t xml:space="preserve">2.9 Law and disputes.</w:t>
      </w:r>
      <w:r>
        <w:t xml:space="preserve"> </w:t>
      </w:r>
      <w:r>
        <w:t xml:space="preserve">MSA Article 19 applies between iDen2 and the End Customer.</w:t>
      </w:r>
    </w:p>
    <w:bookmarkEnd w:id="25"/>
    <w:bookmarkStart w:id="26" w:name="important-rules-for-the-end-customer"/>
    <w:p>
      <w:pPr>
        <w:pStyle w:val="Heading1"/>
      </w:pPr>
      <w:r>
        <w:t xml:space="preserve">3. IMPORTANT RULES FOR THE END CUSTOMER</w:t>
      </w:r>
    </w:p>
    <w:p>
      <w:pPr>
        <w:pStyle w:val="FirstParagraph"/>
      </w:pPr>
      <w:r>
        <w:t xml:space="preserve">By signing, the End Customer agrees that: (a) its use of the Platform is under the MSA’s license limits and Acceptable Use Rules; (b) it will not give access to anyone outside its organization; (c) iDen2 owns the Platform and all related intellectual property; and (d) it complies with the export, sanctions, and anti-corruption terms in MSA Article 17.</w:t>
      </w:r>
    </w:p>
    <w:bookmarkEnd w:id="26"/>
    <w:bookmarkStart w:id="27" w:name="signatures"/>
    <w:p>
      <w:pPr>
        <w:pStyle w:val="Heading1"/>
      </w:pPr>
      <w:r>
        <w:t xml:space="preserve">SIGNATURES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4680"/>
        <w:gridCol w:w="4680"/>
      </w:tblGrid>
      <w:tr>
        <w:trPr>
          <w:tblHeader w:val="true"/>
        </w:trPr>
        <w:tc>
          <w:tcPr>
            <w:tcW w:type="dxa" w:w="4680"/>
            <w:shd w:val="clear" w:color="auto" w:fill="EFE3FB"/>
          </w:tcPr>
          <w:p>
            <w:pPr>
              <w:pStyle w:val="Compact"/>
              <w:spacing w:after="20" w:before="20"/>
              <w:jc w:val="left"/>
            </w:pPr>
            <w:r>
              <w:rPr>
                <w:bCs/>
                <w:rFonts w:ascii="Calibri" w:hAnsi="Calibri"/>
                <w:b/>
                <w:sz w:val="19"/>
              </w:rPr>
              <w:t xml:space="preserve">iDen2 Inc.</w:t>
            </w:r>
          </w:p>
        </w:tc>
        <w:tc>
          <w:tcPr>
            <w:tcW w:type="dxa" w:w="4680"/>
            <w:shd w:val="clear" w:color="auto" w:fill="EFE3FB"/>
          </w:tcPr>
          <w:p>
            <w:pPr>
              <w:pStyle w:val="Compact"/>
              <w:spacing w:after="20" w:before="20"/>
              <w:jc w:val="left"/>
            </w:pPr>
            <w:r>
              <w:rPr>
                <w:bCs/>
                <w:rFonts w:ascii="Calibri" w:hAnsi="Calibri"/>
                <w:b/>
                <w:sz w:val="19"/>
              </w:rPr>
              <w:t xml:space="preserve">[END CUSTOMER LEGAL NAME]</w:t>
            </w:r>
          </w:p>
        </w:tc>
      </w:tr>
      <w:tr>
        <w:tc>
          <w:tcPr>
            <w:tcW w:type="dxa" w:w="4680"/>
          </w:tcPr>
          <w:p>
            <w:pPr>
              <w:pStyle w:val="Compact"/>
              <w:spacing w:after="20" w:before="20"/>
              <w:jc w:val="left"/>
            </w:pPr>
            <w:r>
              <w:rPr>
                <w:rFonts w:ascii="Calibri" w:hAnsi="Calibri"/>
                <w:sz w:val="19"/>
              </w:rPr>
              <w:t xml:space="preserve">Signature:</w:t>
            </w:r>
          </w:p>
        </w:tc>
        <w:tc>
          <w:tcPr>
            <w:tcW w:type="dxa" w:w="4680"/>
          </w:tcPr>
          <w:p>
            <w:pPr>
              <w:pStyle w:val="Compact"/>
              <w:spacing w:after="20" w:before="20"/>
              <w:jc w:val="left"/>
            </w:pPr>
            <w:r>
              <w:rPr>
                <w:rFonts w:ascii="Calibri" w:hAnsi="Calibri"/>
                <w:sz w:val="19"/>
              </w:rPr>
              <w:t xml:space="preserve">Signature:</w:t>
            </w:r>
          </w:p>
        </w:tc>
      </w:tr>
      <w:tr>
        <w:tc>
          <w:tcPr>
            <w:tcW w:type="dxa" w:w="4680"/>
          </w:tcPr>
          <w:p>
            <w:pPr>
              <w:pStyle w:val="Compact"/>
              <w:spacing w:after="20" w:before="20"/>
              <w:jc w:val="left"/>
            </w:pPr>
            <w:r>
              <w:rPr>
                <w:rFonts w:ascii="Calibri" w:hAnsi="Calibri"/>
                <w:sz w:val="19"/>
              </w:rPr>
              <w:t xml:space="preserve">Name:</w:t>
            </w:r>
          </w:p>
        </w:tc>
        <w:tc>
          <w:tcPr>
            <w:tcW w:type="dxa" w:w="4680"/>
          </w:tcPr>
          <w:p>
            <w:pPr>
              <w:pStyle w:val="Compact"/>
              <w:spacing w:after="20" w:before="20"/>
              <w:jc w:val="left"/>
            </w:pPr>
            <w:r>
              <w:rPr>
                <w:rFonts w:ascii="Calibri" w:hAnsi="Calibri"/>
                <w:sz w:val="19"/>
              </w:rPr>
              <w:t xml:space="preserve">Name:</w:t>
            </w:r>
          </w:p>
        </w:tc>
      </w:tr>
      <w:tr>
        <w:tc>
          <w:tcPr>
            <w:tcW w:type="dxa" w:w="4680"/>
          </w:tcPr>
          <w:p>
            <w:pPr>
              <w:pStyle w:val="Compact"/>
              <w:spacing w:after="20" w:before="20"/>
              <w:jc w:val="left"/>
            </w:pPr>
            <w:r>
              <w:rPr>
                <w:rFonts w:ascii="Calibri" w:hAnsi="Calibri"/>
                <w:sz w:val="19"/>
              </w:rPr>
              <w:t xml:space="preserve">Title:</w:t>
            </w:r>
          </w:p>
        </w:tc>
        <w:tc>
          <w:tcPr>
            <w:tcW w:type="dxa" w:w="4680"/>
          </w:tcPr>
          <w:p>
            <w:pPr>
              <w:pStyle w:val="Compact"/>
              <w:spacing w:after="20" w:before="20"/>
              <w:jc w:val="left"/>
            </w:pPr>
            <w:r>
              <w:rPr>
                <w:rFonts w:ascii="Calibri" w:hAnsi="Calibri"/>
                <w:sz w:val="19"/>
              </w:rPr>
              <w:t xml:space="preserve">Title:</w:t>
            </w:r>
          </w:p>
        </w:tc>
      </w:tr>
      <w:tr>
        <w:tc>
          <w:tcPr>
            <w:tcW w:type="dxa" w:w="4680"/>
          </w:tcPr>
          <w:p>
            <w:pPr>
              <w:pStyle w:val="Compact"/>
              <w:spacing w:after="20" w:before="20"/>
              <w:jc w:val="left"/>
            </w:pPr>
            <w:r>
              <w:rPr>
                <w:rFonts w:ascii="Calibri" w:hAnsi="Calibri"/>
                <w:sz w:val="19"/>
              </w:rPr>
              <w:t xml:space="preserve">Date:</w:t>
            </w:r>
          </w:p>
        </w:tc>
        <w:tc>
          <w:tcPr>
            <w:tcW w:type="dxa" w:w="4680"/>
          </w:tcPr>
          <w:p>
            <w:pPr>
              <w:pStyle w:val="Compact"/>
              <w:spacing w:after="20" w:before="20"/>
              <w:jc w:val="left"/>
            </w:pPr>
            <w:r>
              <w:rPr>
                <w:rFonts w:ascii="Calibri" w:hAnsi="Calibri"/>
                <w:sz w:val="19"/>
              </w:rPr>
              <w:t xml:space="preserve">Date:</w:t>
            </w:r>
          </w:p>
        </w:tc>
      </w:tr>
    </w:tbl>
    <w:bookmarkEnd w:id="27"/>
    <w:sectPr>
      <w:footerReference w:type="default" r:id="rId9"/>
      <w:pgSz w:h="15840" w:w="12240"/>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F76"/>
        <w:sz w:val="16"/>
      </w:rPr>
      <w:t xml:space="preserve">iDen2 Inc.  |  End Customer Terms Partner Sold  |  Confidential  |  Page </w:t>
    </w:r>
    <w:r>
      <w:rPr>
        <w:color w:val="6B6F76"/>
        <w:sz w:val="16"/>
      </w:rPr>
      <w:fldChar w:fldCharType="begin"/>
      <w:instrText xml:space="preserve">PAGE</w:instrText>
      <w:fldChar w:fldCharType="end"/>
    </w:r>
    <w:r>
      <w:rPr>
        <w:color w:val="6B6F76"/>
        <w:sz w:val="16"/>
      </w:rPr>
      <w:t xml:space="preserve"> of </w:t>
    </w:r>
    <w:r>
      <w:rPr>
        <w:color w:val="6B6F76"/>
        <w:sz w:val="16"/>
      </w:rPr>
      <w:fldChar w:fldCharType="begin"/>
      <w:instrText xml:space="preserve">NUMPAGES</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cs="Calibri" w:eastAsia="Calibri" w:hAnsi="Calibri"/>
      <w:color w:val="1A1A2E"/>
      <w:sz w:val="21"/>
    </w:rPr>
  </w:style>
  <w:style w:styleId="BodyText" w:type="paragraph">
    <w:name w:val="Body Text"/>
    <w:basedOn w:val="Normal"/>
    <w:link w:val="BodyTextChar"/>
    <w:pPr>
      <w:spacing w:after="120" w:before="0" w:line="259" w:lineRule="auto"/>
    </w:pPr>
    <w:qFormat/>
    <w:rPr>
      <w:rFonts w:ascii="Calibri" w:cs="Calibri" w:eastAsia="Calibri" w:hAnsi="Calibri"/>
      <w:color w:val="1A1A2E"/>
      <w:sz w:val="21"/>
    </w:rPr>
  </w:style>
  <w:style w:customStyle="1" w:styleId="FirstParagraph" w:type="paragraph">
    <w:name w:val="First Paragraph"/>
    <w:basedOn w:val="BodyText"/>
    <w:next w:val="BodyText"/>
    <w:qFormat/>
    <w:pPr>
      <w:spacing w:after="120" w:before="0" w:line="259" w:lineRule="auto"/>
    </w:pPr>
    <w:rPr>
      <w:rFonts w:ascii="Calibri" w:cs="Calibri" w:eastAsia="Calibri" w:hAnsi="Calibri"/>
      <w:color w:val="1A1A2E"/>
      <w:sz w:val="21"/>
    </w:rPr>
  </w:style>
  <w:style w:customStyle="1" w:styleId="Compact" w:type="paragraph">
    <w:name w:val="Compact"/>
    <w:basedOn w:val="BodyText"/>
    <w:qFormat/>
    <w:pPr>
      <w:spacing w:after="40" w:before="36"/>
    </w:pPr>
    <w:rPr>
      <w:rFonts w:ascii="Calibri" w:cs="Calibri" w:eastAsia="Calibri" w:hAnsi="Calibri"/>
      <w:color w:val="1A1A2E"/>
      <w:sz w:val="21"/>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Calibri" w:cs="Calibri" w:eastAsia="Calibri" w:hAnsi="Calibri"/>
      <w:b/>
      <w:bCs/>
      <w:i w:val="0"/>
      <w:color w:val="8A2EE5"/>
      <w:sz w:val="28"/>
      <w:szCs w:val="32"/>
    </w:rPr>
  </w:style>
  <w:style w:styleId="Heading2" w:type="paragraph">
    <w:name w:val="Heading 2"/>
    <w:basedOn w:val="Normal"/>
    <w:next w:val="BodyText"/>
    <w:uiPriority w:val="9"/>
    <w:unhideWhenUsed/>
    <w:qFormat/>
    <w:pPr>
      <w:keepNext/>
      <w:keepLines/>
      <w:spacing w:after="80" w:before="240"/>
      <w:outlineLvl w:val="1"/>
    </w:pPr>
    <w:rPr>
      <w:rFonts w:ascii="Calibri" w:cs="Calibri" w:eastAsia="Calibri" w:hAnsi="Calibri"/>
      <w:b/>
      <w:bCs/>
      <w:i w:val="0"/>
      <w:color w:val="8A2EE5"/>
      <w:sz w:val="24"/>
      <w:szCs w:val="28"/>
    </w:rPr>
  </w:style>
  <w:style w:styleId="Heading3" w:type="paragraph">
    <w:name w:val="Heading 3"/>
    <w:basedOn w:val="Normal"/>
    <w:next w:val="BodyText"/>
    <w:uiPriority w:val="9"/>
    <w:unhideWhenUsed/>
    <w:qFormat/>
    <w:pPr>
      <w:keepNext/>
      <w:keepLines/>
      <w:spacing w:after="60" w:before="200"/>
      <w:outlineLvl w:val="2"/>
    </w:pPr>
    <w:rPr>
      <w:rFonts w:ascii="Calibri" w:cs="Calibri" w:eastAsia="Calibri" w:hAnsi="Calibri"/>
      <w:b/>
      <w:bCs/>
      <w:i w:val="0"/>
      <w:color w:val="1A1A2E"/>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60" w:before="120"/>
      <w:ind w:firstLine="0" w:left="144" w:right="144"/>
      <w:shd w:fill="FFF6D6" w:val="clear"/>
      <w:pBdr>
        <w:top w:color="E0B400" w:space="4" w:sz="6" w:val="single"/>
        <w:left w:color="E0B400" w:space="4" w:sz="24" w:val="single"/>
        <w:bottom w:color="E0B400" w:space="4" w:sz="6" w:val="single"/>
        <w:right w:color="E0B400" w:space="4" w:sz="6" w:val="single"/>
      </w:pBdr>
    </w:pPr>
    <w:rPr>
      <w:rFonts w:ascii="Calibri" w:cs="Calibri" w:eastAsia="Calibri" w:hAnsi="Calibri"/>
      <w:i/>
      <w:color w:val="4A3B00"/>
      <w:sz w:val="19"/>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image" Target="media/rId20.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2026-10-10T22:14:57Z</dcterms:created>
  <dcterms:modified xsi:type="dcterms:W3CDTF">2026-10-10T22:14:57Z</dcterms:modified>
</cp:coreProperties>
</file>

<file path=docProps/custom.xml><?xml version="1.0" encoding="utf-8"?>
<Properties xmlns="http://schemas.openxmlformats.org/officeDocument/2006/custom-properties" xmlns:vt="http://schemas.openxmlformats.org/officeDocument/2006/docPropsVTypes"/>
</file>