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public-sector-addendum"/>
    <w:p>
      <w:pPr>
        <w:pStyle w:val="Heading1"/>
      </w:pPr>
      <w:r>
        <w:t xml:space="preserve">PUBLIC SECTOR ADDENDUM</w:t>
      </w:r>
    </w:p>
    <w:p>
      <w:pPr>
        <w:pStyle w:val="FirstParagraph"/>
      </w:pPr>
      <w:r>
        <w:rPr>
          <w:bCs/>
          <w:b/>
        </w:rPr>
        <w:t xml:space="preserve">iDen2 Inc. and [GOVERNMENT CUSTOMER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CODE]-PSA-[YYYY]-[###]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Forms part of</w:t>
            </w:r>
          </w:p>
        </w:tc>
        <w:tc>
          <w:tcPr>
            <w:tcW w:type="dxa" w:w="6624"/>
          </w:tcPr>
          <w:p>
            <w:pPr>
              <w:pStyle w:val="Compact"/>
              <w:spacing w:after="20" w:before="20"/>
              <w:jc w:val="left"/>
            </w:pPr>
            <w:r>
              <w:rPr>
                <w:rFonts w:ascii="Calibri" w:hAnsi="Calibri"/>
                <w:sz w:val="19"/>
              </w:rPr>
              <w:t xml:space="preserve">MSA dated [DATE], reference [MSA REF], and Order Form [OF REF]</w:t>
            </w:r>
          </w:p>
        </w:tc>
      </w:tr>
      <w:tr>
        <w:tc>
          <w:tcPr>
            <w:tcW w:type="dxa" w:w="2736"/>
            <w:shd w:val="clear" w:color="auto" w:fill="F4F5F7"/>
          </w:tcPr>
          <w:p>
            <w:pPr>
              <w:pStyle w:val="Compact"/>
              <w:spacing w:after="20" w:before="20"/>
              <w:jc w:val="left"/>
            </w:pPr>
            <w:r>
              <w:rPr>
                <w:bCs/>
                <w:rFonts w:ascii="Calibri" w:hAnsi="Calibri"/>
                <w:b/>
                <w:sz w:val="19"/>
              </w:rPr>
              <w:t xml:space="preserve">Customer type</w:t>
            </w:r>
          </w:p>
        </w:tc>
        <w:tc>
          <w:tcPr>
            <w:tcW w:type="dxa" w:w="6624"/>
          </w:tcPr>
          <w:p>
            <w:pPr>
              <w:pStyle w:val="Compact"/>
              <w:spacing w:after="20" w:before="20"/>
              <w:jc w:val="left"/>
            </w:pPr>
            <w:r>
              <w:rPr>
                <w:rFonts w:ascii="Calibri" w:hAnsi="Calibri"/>
                <w:sz w:val="19"/>
              </w:rPr>
              <w:t xml:space="preserve">☐ US federal ☐ US state or local ☐ Non-US national or regional government ☐ Public body or international organization</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Public bodies often cannot agree to parts of a commercial contract because of law, not preference. Examples are open-ended indemnities, Wyoming arbitration, and automatic renewal. This addendum lists the usual changes in one place so you do not rewrite the MSA. It is a starting point only. Have counsel in the customer’s country review it before signing. Where iDen2 sells through a reseller or a contract vehicle (for example Carahsoft), the vehicle’s own terms and the reseller’s flow-down clauses also apply, and they may override this addendum. Check the vehicle terms first. Every citation of a law, regulation, or clause in square brackets must be verified by counsel before use.</w:t>
      </w:r>
    </w:p>
    <w:bookmarkEnd w:id="23"/>
    <w:bookmarkStart w:id="24" w:name="when-this-applies"/>
    <w:p>
      <w:pPr>
        <w:pStyle w:val="Heading1"/>
      </w:pPr>
      <w:r>
        <w:t xml:space="preserve">1. WHEN THIS APPLIES</w:t>
      </w:r>
    </w:p>
    <w:p>
      <w:pPr>
        <w:pStyle w:val="FirstParagraph"/>
      </w:pPr>
      <w:r>
        <w:t xml:space="preserve">This Addendum applies if the Customer is a government body, public agency, or public international organization, or if the Platform is used in a public identity program. If this Addendum conflicts with the MSA, this Addendum wins for the Customer.</w:t>
      </w:r>
    </w:p>
    <w:bookmarkEnd w:id="24"/>
    <w:bookmarkStart w:id="25" w:name="changes-for-all-public-customers"/>
    <w:p>
      <w:pPr>
        <w:pStyle w:val="Heading1"/>
      </w:pPr>
      <w:r>
        <w:t xml:space="preserve">2. CHANGES FOR ALL PUBLIC CUSTOMERS</w:t>
      </w:r>
    </w:p>
    <w:p>
      <w:pPr>
        <w:pStyle w:val="FirstParagraph"/>
      </w:pPr>
      <w:r>
        <w:rPr>
          <w:bCs/>
          <w:b/>
        </w:rPr>
        <w:t xml:space="preserve">2.1 Customer-side approvals.</w:t>
      </w:r>
      <w:r>
        <w:t xml:space="preserve"> </w:t>
      </w:r>
      <w:r>
        <w:t xml:space="preserve">The Customer confirms that it has authority and appropriated funds, or the legal ability, to enter the Order Form.</w:t>
      </w:r>
    </w:p>
    <w:p>
      <w:pPr>
        <w:pStyle w:val="BodyText"/>
      </w:pPr>
      <w:r>
        <w:rPr>
          <w:bCs/>
          <w:b/>
        </w:rPr>
        <w:t xml:space="preserve">2.2 Payment.</w:t>
      </w:r>
      <w:r>
        <w:t xml:space="preserve"> </w:t>
      </w:r>
      <w:r>
        <w:t xml:space="preserve">Invoices are payable within the period set by the Customer’s governing payment law [for US federal: the Prompt Payment Act] or, if none, 30 days. Late-payment interest follows that law instead of MSA Section 7.4 where the law sets the rate.</w:t>
      </w:r>
    </w:p>
    <w:p>
      <w:pPr>
        <w:pStyle w:val="BodyText"/>
      </w:pPr>
      <w:r>
        <w:rPr>
          <w:bCs/>
          <w:b/>
        </w:rPr>
        <w:t xml:space="preserve">2.3 Taxes.</w:t>
      </w:r>
      <w:r>
        <w:t xml:space="preserve"> </w:t>
      </w:r>
      <w:r>
        <w:t xml:space="preserve">If the Customer is tax-exempt, it will give iDen2 a valid exemption certificate before invoicing. Otherwise MSA Section 7.6 applies.</w:t>
      </w:r>
    </w:p>
    <w:p>
      <w:pPr>
        <w:pStyle w:val="BodyText"/>
      </w:pPr>
      <w:r>
        <w:rPr>
          <w:bCs/>
          <w:b/>
        </w:rPr>
        <w:t xml:space="preserve">2.4 Records and audit.</w:t>
      </w:r>
      <w:r>
        <w:t xml:space="preserve"> </w:t>
      </w:r>
      <w:r>
        <w:t xml:space="preserve">The Customer may audit iDen2’s billing records for the Order Form once a year on reasonable notice, as the Customer’s law requires. This does not give access to iDen2’s source code, security details, or other customers’ data.</w:t>
      </w:r>
    </w:p>
    <w:p>
      <w:pPr>
        <w:pStyle w:val="BodyText"/>
      </w:pPr>
      <w:r>
        <w:rPr>
          <w:bCs/>
          <w:b/>
        </w:rPr>
        <w:t xml:space="preserve">2.5 Open records.</w:t>
      </w:r>
      <w:r>
        <w:t xml:space="preserve"> </w:t>
      </w:r>
      <w:r>
        <w:t xml:space="preserve">If the Customer’s law requires it to disclose records on request, it will give iDen2 prompt notice, to the extent the law allows, so that iDen2 can seek protection for trade secrets and pricing. iDen2 marks as</w:t>
      </w:r>
      <w:r>
        <w:t xml:space="preserve"> </w:t>
      </w:r>
      <w:r>
        <w:t xml:space="preserve">“</w:t>
      </w:r>
      <w:r>
        <w:t xml:space="preserve">Confidential: Trade Secret / Commercial</w:t>
      </w:r>
      <w:r>
        <w:t xml:space="preserve">”</w:t>
      </w:r>
      <w:r>
        <w:t xml:space="preserve"> </w:t>
      </w:r>
      <w:r>
        <w:t xml:space="preserve">its pricing, architecture, and source-code information supplied under this Agreement.</w:t>
      </w:r>
    </w:p>
    <w:p>
      <w:pPr>
        <w:pStyle w:val="BodyText"/>
      </w:pPr>
      <w:r>
        <w:rPr>
          <w:bCs/>
          <w:b/>
        </w:rPr>
        <w:t xml:space="preserve">2.6 Security and clearance.</w:t>
      </w:r>
      <w:r>
        <w:t xml:space="preserve"> </w:t>
      </w:r>
      <w:r>
        <w:t xml:space="preserve">If the Customer needs iDen2 personnel to hold a security clearance, or the work involves classified or controlled unclassified information, the parties will agree this in the Order Form first. Otherwise iDen2 will not handle such information.</w:t>
      </w:r>
    </w:p>
    <w:p>
      <w:pPr>
        <w:pStyle w:val="BodyText"/>
      </w:pPr>
      <w:r>
        <w:rPr>
          <w:bCs/>
          <w:b/>
        </w:rPr>
        <w:t xml:space="preserve">2.7 Sovereignty.</w:t>
      </w:r>
      <w:r>
        <w:t xml:space="preserve"> </w:t>
      </w:r>
      <w:r>
        <w:t xml:space="preserve">The Customer’s data location, key custody, and operations model are set in the Order Form. Where national law requires hosting or key control in-country, the Order Form will say who is responsible for provisioning the in-country infrastructure and for related costs.</w:t>
      </w:r>
    </w:p>
    <w:p>
      <w:pPr>
        <w:pStyle w:val="BodyText"/>
      </w:pPr>
      <w:r>
        <w:rPr>
          <w:bCs/>
          <w:b/>
        </w:rPr>
        <w:t xml:space="preserve">2.8 Compliance with export, sanctions and anti-corruption laws.</w:t>
      </w:r>
      <w:r>
        <w:t xml:space="preserve"> </w:t>
      </w:r>
      <w:r>
        <w:t xml:space="preserve">MSA Article 17 applies. The Customer confirms that it is a government body or acts for one with legal authority, that no money is paid or offered for improper advantage, and that no official, intermediary, or beneficial owner is on a sanctions list.</w:t>
      </w:r>
    </w:p>
    <w:bookmarkEnd w:id="25"/>
    <w:bookmarkStart w:id="26" w:name="changes-for-us-federal-customers"/>
    <w:p>
      <w:pPr>
        <w:pStyle w:val="Heading1"/>
      </w:pPr>
      <w:r>
        <w:t xml:space="preserve">3. CHANGES FOR US FEDERAL CUSTOMERS</w:t>
      </w:r>
    </w:p>
    <w:p>
      <w:pPr>
        <w:pStyle w:val="FirstParagraph"/>
      </w:pPr>
      <w:r>
        <w:rPr>
          <w:bCs/>
          <w:b/>
        </w:rPr>
        <w:t xml:space="preserve">3.1 Commercial item.</w:t>
      </w:r>
      <w:r>
        <w:t xml:space="preserve"> </w:t>
      </w:r>
      <w:r>
        <w:t xml:space="preserve">The Platform is commercial computer software and related services. Use, reproduction, and disclosure by the US Government are governed by this Agreement and the commercial license terms, consistent with [FAR 12.212 and, for defense agencies, DFARS 227.7202].</w:t>
      </w:r>
    </w:p>
    <w:p>
      <w:pPr>
        <w:pStyle w:val="BodyText"/>
      </w:pPr>
      <w:r>
        <w:rPr>
          <w:bCs/>
          <w:b/>
        </w:rPr>
        <w:t xml:space="preserve">3.2 Disputes.</w:t>
      </w:r>
      <w:r>
        <w:t xml:space="preserve"> </w:t>
      </w:r>
      <w:r>
        <w:t xml:space="preserve">Disputes are handled under the Contract Disputes Act [41 U.S.C. §§ 7101-7109] and not by arbitration. Federal law governs. MSA Sections 19.1 to 19.5 do not apply.</w:t>
      </w:r>
    </w:p>
    <w:p>
      <w:pPr>
        <w:pStyle w:val="BodyText"/>
      </w:pPr>
      <w:r>
        <w:rPr>
          <w:bCs/>
          <w:b/>
        </w:rPr>
        <w:t xml:space="preserve">3.3 Indemnity and liability.</w:t>
      </w:r>
      <w:r>
        <w:t xml:space="preserve"> </w:t>
      </w:r>
      <w:r>
        <w:t xml:space="preserve">To the extent the law bars the Customer from agreeing to open-ended indemnity, MSA Section 14.4 does not apply to the Customer. This does not limit iDen2’s right to recover under federal law, such as for misuse of iDen2’s intellectual property.</w:t>
      </w:r>
    </w:p>
    <w:p>
      <w:pPr>
        <w:pStyle w:val="BodyText"/>
      </w:pPr>
      <w:r>
        <w:rPr>
          <w:bCs/>
          <w:b/>
        </w:rPr>
        <w:t xml:space="preserve">3.4 Anti-Deficiency.</w:t>
      </w:r>
      <w:r>
        <w:t xml:space="preserve"> </w:t>
      </w:r>
      <w:r>
        <w:t xml:space="preserve">Nothing in this Agreement requires the Customer to spend money that Congress has not appropriated [Anti-Deficiency Act, 31 U.S.C. § 1341].</w:t>
      </w:r>
    </w:p>
    <w:p>
      <w:pPr>
        <w:pStyle w:val="BodyText"/>
      </w:pPr>
      <w:r>
        <w:rPr>
          <w:bCs/>
          <w:b/>
        </w:rPr>
        <w:t xml:space="preserve">3.5 Unauthorized obligations.</w:t>
      </w:r>
      <w:r>
        <w:t xml:space="preserve"> </w:t>
      </w:r>
      <w:r>
        <w:t xml:space="preserve">Any term in this Agreement or a linked document that would bind the Customer to an unlawful obligation, such as automatic renewal that obliges payment without appropriated funds, an open-ended indemnity, or state-law governing law, does not apply to the Customer [see FAR 52.212-4(u)].</w:t>
      </w:r>
    </w:p>
    <w:p>
      <w:pPr>
        <w:pStyle w:val="BodyText"/>
      </w:pPr>
      <w:r>
        <w:rPr>
          <w:bCs/>
          <w:b/>
        </w:rPr>
        <w:t xml:space="preserve">3.6 Auto-renewal.</w:t>
      </w:r>
      <w:r>
        <w:t xml:space="preserve"> </w:t>
      </w:r>
      <w:r>
        <w:t xml:space="preserve">MSA Section 8.3 does not apply. Renewals need a signed Renewal and Amendment (Template 13) or a government contract modification.</w:t>
      </w:r>
    </w:p>
    <w:p>
      <w:pPr>
        <w:pStyle w:val="BodyText"/>
      </w:pPr>
      <w:r>
        <w:rPr>
          <w:bCs/>
          <w:b/>
        </w:rPr>
        <w:t xml:space="preserve">3.7 Contract vehicle.</w:t>
      </w:r>
      <w:r>
        <w:t xml:space="preserve"> </w:t>
      </w:r>
      <w:r>
        <w:t xml:space="preserve">If the order is placed through a reseller or contract vehicle, the vehicle’s terms apply as between the Customer and the reseller. As between the Customer and iDen2, the MSA and this Addendum apply for use rights and intellectual property. In a conflict on a federal buyer’s rights, the vehicle terms win.</w:t>
      </w:r>
    </w:p>
    <w:p>
      <w:pPr>
        <w:pStyle w:val="BodyText"/>
      </w:pPr>
      <w:r>
        <w:rPr>
          <w:bCs/>
          <w:b/>
        </w:rPr>
        <w:t xml:space="preserve">3.8 Supply chain and security.</w:t>
      </w:r>
      <w:r>
        <w:t xml:space="preserve"> </w:t>
      </w:r>
      <w:r>
        <w:t xml:space="preserve">iDen2 will respond in good faith to reasonable government supply-chain, software bill-of-materials, and security assessment requests. If a specific authorization (for example FedRAMP) is required and iDen2 does not hold it, the Order Form must say how the requirement is handled. iDen2 gives no promise of any authorization it does not hold.</w:t>
      </w:r>
    </w:p>
    <w:bookmarkEnd w:id="26"/>
    <w:bookmarkStart w:id="27" w:name="changes-for-us-state-and-local-customers"/>
    <w:p>
      <w:pPr>
        <w:pStyle w:val="Heading1"/>
      </w:pPr>
      <w:r>
        <w:t xml:space="preserve">4. CHANGES FOR US STATE AND LOCAL CUSTOMERS</w:t>
      </w:r>
    </w:p>
    <w:p>
      <w:pPr>
        <w:pStyle w:val="FirstParagraph"/>
      </w:pPr>
      <w:r>
        <w:rPr>
          <w:bCs/>
          <w:b/>
        </w:rPr>
        <w:t xml:space="preserve">4.1 Governing law.</w:t>
      </w:r>
      <w:r>
        <w:t xml:space="preserve"> </w:t>
      </w:r>
      <w:r>
        <w:t xml:space="preserve">If the Customer’s law requires its own state law and courts, then that law and venue replace MSA Article 19. All other parts of MSA Article 19 that are not inconsistent with that law remain.</w:t>
      </w:r>
    </w:p>
    <w:p>
      <w:pPr>
        <w:pStyle w:val="BodyText"/>
      </w:pPr>
      <w:r>
        <w:rPr>
          <w:bCs/>
          <w:b/>
        </w:rPr>
        <w:t xml:space="preserve">4.2 Indemnity.</w:t>
      </w:r>
      <w:r>
        <w:t xml:space="preserve"> </w:t>
      </w:r>
      <w:r>
        <w:t xml:space="preserve">If the Customer’s law bars it from indemnifying, MSA Section 14.4 does not apply to the Customer.</w:t>
      </w:r>
    </w:p>
    <w:p>
      <w:pPr>
        <w:pStyle w:val="BodyText"/>
      </w:pPr>
      <w:r>
        <w:rPr>
          <w:bCs/>
          <w:b/>
        </w:rPr>
        <w:t xml:space="preserve">4.3 Cooperative contracts.</w:t>
      </w:r>
      <w:r>
        <w:t xml:space="preserve"> </w:t>
      </w:r>
      <w:r>
        <w:t xml:space="preserve">If the Customer buys under a cooperative contract (for example NASPO ValuePoint, TIPS, or OMNIA Partners), the cooperative contract’s terms apply as between the Customer and iDen2 and win over this Addendum in a conflict, to the extent required.</w:t>
      </w:r>
    </w:p>
    <w:bookmarkEnd w:id="27"/>
    <w:bookmarkStart w:id="28" w:name="changes-for-non-us-public-customers"/>
    <w:p>
      <w:pPr>
        <w:pStyle w:val="Heading1"/>
      </w:pPr>
      <w:r>
        <w:t xml:space="preserve">5. CHANGES FOR NON-US PUBLIC CUSTOMERS</w:t>
      </w:r>
    </w:p>
    <w:p>
      <w:pPr>
        <w:pStyle w:val="FirstParagraph"/>
      </w:pPr>
      <w:r>
        <w:rPr>
          <w:bCs/>
          <w:b/>
        </w:rPr>
        <w:t xml:space="preserve">5.1 Governing law and disputes.</w:t>
      </w:r>
      <w:r>
        <w:t xml:space="preserve"> </w:t>
      </w:r>
      <w:r>
        <w:t xml:space="preserve">If the Customer is a government body that cannot agree to Wyoming law or arbitration, the parties will agree in the Order Form on: (a) the governing law (to be the Customer’s law only if required); and (b) arbitration under JAMS International or ICC rules at a neutral seat, or the courts of the Customer’s country if required.</w:t>
      </w:r>
    </w:p>
    <w:p>
      <w:pPr>
        <w:pStyle w:val="BodyText"/>
      </w:pPr>
      <w:r>
        <w:rPr>
          <w:bCs/>
          <w:b/>
        </w:rPr>
        <w:t xml:space="preserve">5.2 Immunity.</w:t>
      </w:r>
      <w:r>
        <w:t xml:space="preserve"> </w:t>
      </w:r>
      <w:r>
        <w:t xml:space="preserve">If the Customer has sovereign or similar immunity, it waives it for disputes arising from this Agreement, to the extent the law permits. [Counsel to confirm.]</w:t>
      </w:r>
    </w:p>
    <w:p>
      <w:pPr>
        <w:pStyle w:val="BodyText"/>
      </w:pPr>
      <w:r>
        <w:rPr>
          <w:bCs/>
          <w:b/>
        </w:rPr>
        <w:t xml:space="preserve">5.3 Currency and payment.</w:t>
      </w:r>
      <w:r>
        <w:t xml:space="preserve"> </w:t>
      </w:r>
      <w:r>
        <w:t xml:space="preserve">Payment is in USD [or the currency in the Order Form], free of local taxes, set-off, or counterclaim, by international wire. The Customer is responsible for any local tax or levy on payments, and MSA Section 7.6 applies to any withholding.</w:t>
      </w:r>
    </w:p>
    <w:p>
      <w:pPr>
        <w:pStyle w:val="BodyText"/>
      </w:pPr>
      <w:r>
        <w:rPr>
          <w:bCs/>
          <w:b/>
        </w:rPr>
        <w:t xml:space="preserve">5.4 Local content and partners.</w:t>
      </w:r>
      <w:r>
        <w:t xml:space="preserve"> </w:t>
      </w:r>
      <w:r>
        <w:t xml:space="preserve">If local law requires iDen2 to use a local partner or entity, the Order Form will name it. iDen2 is not required to form a local entity or to share source code.</w:t>
      </w:r>
    </w:p>
    <w:p>
      <w:pPr>
        <w:pStyle w:val="BodyText"/>
      </w:pPr>
      <w:r>
        <w:rPr>
          <w:bCs/>
          <w:b/>
        </w:rPr>
        <w:t xml:space="preserve">5.5 Intermediaries.</w:t>
      </w:r>
      <w:r>
        <w:t xml:space="preserve"> </w:t>
      </w:r>
      <w:r>
        <w:t xml:space="preserve">iDen2 does not pay, and the Customer confirms it does not request, any commission, fee, or gift to any public official to obtain this order. Any intermediary or partner involved in the sale is disclosed to the Customer on request.</w:t>
      </w:r>
    </w:p>
    <w:bookmarkEnd w:id="28"/>
    <w:bookmarkStart w:id="29" w:name="national-and-regulated-identity-programs"/>
    <w:p>
      <w:pPr>
        <w:pStyle w:val="Heading1"/>
      </w:pPr>
      <w:r>
        <w:t xml:space="preserve">6. NATIONAL AND REGULATED IDENTITY PROGRAMS</w:t>
      </w:r>
    </w:p>
    <w:p>
      <w:pPr>
        <w:pStyle w:val="FirstParagraph"/>
      </w:pPr>
      <w:r>
        <w:rPr>
          <w:bCs/>
          <w:b/>
        </w:rPr>
        <w:t xml:space="preserve">6.1 Scheme operator.</w:t>
      </w:r>
      <w:r>
        <w:t xml:space="preserve"> </w:t>
      </w:r>
      <w:r>
        <w:t xml:space="preserve">The Customer (or its sponsoring agency) is the operator of the identity scheme. It is responsible for scheme rules, legal authority to issue and verify identity credentials, accreditation, public notices, and the rights of citizens and residents.</w:t>
      </w:r>
    </w:p>
    <w:p>
      <w:pPr>
        <w:pStyle w:val="BodyText"/>
      </w:pPr>
      <w:r>
        <w:rPr>
          <w:bCs/>
          <w:b/>
        </w:rPr>
        <w:t xml:space="preserve">6.2 Data on citizens.</w:t>
      </w:r>
      <w:r>
        <w:t xml:space="preserve"> </w:t>
      </w:r>
      <w:r>
        <w:t xml:space="preserve">iDen2 processes citizens’ Personal Data only as a Processor under the Data Processing Addendum. The Customer decides retention, access by other agencies, and any use for law enforcement or national security. iDen2 will not release data to a third party, including other governments, without the Customer’s instruction, unless the law of the United States requires it, in which case iDen2 will tell the Customer first where the law allows.</w:t>
      </w:r>
    </w:p>
    <w:p>
      <w:pPr>
        <w:pStyle w:val="BodyText"/>
      </w:pPr>
      <w:r>
        <w:rPr>
          <w:bCs/>
          <w:b/>
        </w:rPr>
        <w:t xml:space="preserve">6.3 Source code and continuity.</w:t>
      </w:r>
      <w:r>
        <w:t xml:space="preserve"> </w:t>
      </w:r>
      <w:r>
        <w:t xml:space="preserve">[OPTION: The parties agree that iDen2 will place the Platform source code in escrow with an agreed independent agent, to be released to the Customer for its own continued use if iDen2 permanently stops providing the Platform or goes insolvent. The Customer bears escrow fees.] [Delete if not offered.]</w:t>
      </w:r>
    </w:p>
    <w:p>
      <w:pPr>
        <w:pStyle w:val="BodyText"/>
      </w:pPr>
      <w:r>
        <w:rPr>
          <w:bCs/>
          <w:b/>
        </w:rPr>
        <w:t xml:space="preserve">6.4 No restriction on lawful operations.</w:t>
      </w:r>
      <w:r>
        <w:t xml:space="preserve"> </w:t>
      </w:r>
      <w:r>
        <w:t xml:space="preserve">The Customer will not use the Platform in a way that breaches the MSA Exhibit A, including mass surveillance or discriminatory profiling that breaches human rights law, and iDen2 may suspend the affected service under MSA Section 4.6 if it does.</w:t>
      </w:r>
    </w:p>
    <w:bookmarkEnd w:id="29"/>
    <w:bookmarkStart w:id="30" w:name="counsel-checklist-before-signing"/>
    <w:p>
      <w:pPr>
        <w:pStyle w:val="Heading1"/>
      </w:pPr>
      <w:r>
        <w:t xml:space="preserve">7. COUNSEL CHECKLIST BEFORE SIGNING</w:t>
      </w:r>
    </w:p>
    <w:p>
      <w:pPr>
        <w:numPr>
          <w:ilvl w:val="0"/>
          <w:numId w:val="1001"/>
        </w:numPr>
        <w:pStyle w:val="Compact"/>
      </w:pPr>
      <w:r>
        <w:t xml:space="preserve">☐ Customer’s governing law and any mandatory contract terms identified</w:t>
      </w:r>
    </w:p>
    <w:p>
      <w:pPr>
        <w:numPr>
          <w:ilvl w:val="0"/>
          <w:numId w:val="1001"/>
        </w:numPr>
        <w:pStyle w:val="Compact"/>
      </w:pPr>
      <w:r>
        <w:t xml:space="preserve">☐ Contract vehicle or reseller terms reviewed</w:t>
      </w:r>
    </w:p>
    <w:p>
      <w:pPr>
        <w:numPr>
          <w:ilvl w:val="0"/>
          <w:numId w:val="1001"/>
        </w:numPr>
        <w:pStyle w:val="Compact"/>
      </w:pPr>
      <w:r>
        <w:t xml:space="preserve">☐ Sanctions screen of the customer, its owners, and intermediaries completed</w:t>
      </w:r>
    </w:p>
    <w:p>
      <w:pPr>
        <w:numPr>
          <w:ilvl w:val="0"/>
          <w:numId w:val="1001"/>
        </w:numPr>
        <w:pStyle w:val="Compact"/>
      </w:pPr>
      <w:r>
        <w:t xml:space="preserve">☐ Export classification of the product confirmed for the destination</w:t>
      </w:r>
    </w:p>
    <w:p>
      <w:pPr>
        <w:numPr>
          <w:ilvl w:val="0"/>
          <w:numId w:val="1001"/>
        </w:numPr>
        <w:pStyle w:val="Compact"/>
      </w:pPr>
      <w:r>
        <w:t xml:space="preserve">☐ Local registration, procurement rules, and approvals checked</w:t>
      </w:r>
    </w:p>
    <w:p>
      <w:pPr>
        <w:numPr>
          <w:ilvl w:val="0"/>
          <w:numId w:val="1001"/>
        </w:numPr>
        <w:pStyle w:val="Compact"/>
      </w:pPr>
      <w:r>
        <w:t xml:space="preserve">☐ Any insurance, bond, or performance guarantee requested has been priced</w:t>
      </w:r>
    </w:p>
    <w:p>
      <w:pPr>
        <w:numPr>
          <w:ilvl w:val="0"/>
          <w:numId w:val="1001"/>
        </w:numPr>
        <w:pStyle w:val="Compact"/>
      </w:pPr>
      <w:r>
        <w:t xml:space="preserve">☐ All bracketed citations verified</w:t>
      </w:r>
    </w:p>
    <w:bookmarkEnd w:id="30"/>
    <w:bookmarkStart w:id="31"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[GOVERNMENT CUSTOMER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31"/>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Public Sector Addendum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