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mutual-non-disclosure-agreement"/>
    <w:p>
      <w:pPr>
        <w:pStyle w:val="Heading1"/>
      </w:pPr>
      <w:r>
        <w:t xml:space="preserve">MUTUAL NON-DISCLOSURE AGREEMENT</w:t>
      </w:r>
    </w:p>
    <w:p>
      <w:pPr>
        <w:pStyle w:val="FirstParagraph"/>
      </w:pPr>
      <w:r>
        <w:rPr>
          <w:bCs/>
          <w:b/>
        </w:rPr>
        <w:t xml:space="preserve">iDen2 Inc. and [COUNTERPARTY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Agreement Reference</w:t>
            </w:r>
          </w:p>
        </w:tc>
        <w:tc>
          <w:tcPr>
            <w:tcW w:type="dxa" w:w="6624"/>
          </w:tcPr>
          <w:p>
            <w:pPr>
              <w:pStyle w:val="Compact"/>
              <w:spacing w:after="20" w:before="20"/>
              <w:jc w:val="left"/>
            </w:pPr>
            <w:r>
              <w:rPr>
                <w:rFonts w:ascii="Calibri" w:hAnsi="Calibri"/>
                <w:sz w:val="19"/>
              </w:rPr>
              <w:t xml:space="preserve">iDen2-[CODE]-NDA-[YYYY]-[###]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Use this for customers, prospects, partners, and investors when both sides will share information. For a one-way NDA where only the counterparty receives information, say so in the Template Guide and use this form with the</w:t>
      </w:r>
      <w:r>
        <w:t xml:space="preserve"> </w:t>
      </w:r>
      <w:r>
        <w:t xml:space="preserve">“</w:t>
      </w:r>
      <w:r>
        <w:t xml:space="preserve">One-way</w:t>
      </w:r>
      <w:r>
        <w:t xml:space="preserve">”</w:t>
      </w:r>
      <w:r>
        <w:t xml:space="preserve"> </w:t>
      </w:r>
      <w:r>
        <w:t xml:space="preserve">option in Section 2. Do not sign a counterparty’s NDA before comparing it to this form. Check three things: the length of the term, the definition of what is covered, and any clause that restricts iDen2 from selling to similar customers.</w:t>
      </w:r>
    </w:p>
    <w:bookmarkEnd w:id="23"/>
    <w:bookmarkStart w:id="24" w:name="parties-and-purpose"/>
    <w:p>
      <w:pPr>
        <w:pStyle w:val="Heading1"/>
      </w:pPr>
      <w:r>
        <w:t xml:space="preserve">1. PARTIES AND PURPOSE</w:t>
      </w:r>
    </w:p>
    <w:p>
      <w:pPr>
        <w:pStyle w:val="FirstParagraph"/>
      </w:pPr>
      <w:r>
        <w:t xml:space="preserve">This Mutual Non-Disclosure Agreement (the</w:t>
      </w:r>
      <w:r>
        <w:t xml:space="preserve"> </w:t>
      </w:r>
      <w:r>
        <w:t xml:space="preserve">“</w:t>
      </w:r>
      <w:r>
        <w:rPr>
          <w:bCs/>
          <w:b/>
        </w:rPr>
        <w:t xml:space="preserve">NDA</w:t>
      </w:r>
      <w:r>
        <w:t xml:space="preserve">”</w:t>
      </w:r>
      <w:r>
        <w:t xml:space="preserve">) is made between:</w:t>
      </w:r>
    </w:p>
    <w:p>
      <w:pPr>
        <w:numPr>
          <w:ilvl w:val="0"/>
          <w:numId w:val="1001"/>
        </w:numPr>
        <w:pStyle w:val="Compact"/>
      </w:pPr>
      <w:r>
        <w:rPr>
          <w:bCs/>
          <w:b/>
        </w:rPr>
        <w:t xml:space="preserve">iDen2 Inc.</w:t>
      </w:r>
      <w:r>
        <w:t xml:space="preserve">, a Wyoming corporation with its registered office at 30 N Gould St, Ste R, Sheridan, WY 82801, USA (</w:t>
      </w:r>
      <w:r>
        <w:t xml:space="preserve">“</w:t>
      </w:r>
      <w:r>
        <w:rPr>
          <w:bCs/>
          <w:b/>
        </w:rPr>
        <w:t xml:space="preserve">iDen2</w:t>
      </w:r>
      <w:r>
        <w:t xml:space="preserve">”</w:t>
      </w:r>
      <w:r>
        <w:t xml:space="preserve">); and</w:t>
      </w:r>
    </w:p>
    <w:p>
      <w:pPr>
        <w:numPr>
          <w:ilvl w:val="0"/>
          <w:numId w:val="1001"/>
        </w:numPr>
        <w:pStyle w:val="Compact"/>
      </w:pPr>
      <w:r>
        <w:rPr>
          <w:bCs/>
          <w:b/>
        </w:rPr>
        <w:t xml:space="preserve">[COUNTERPARTY LEGAL NAME]</w:t>
      </w:r>
      <w:r>
        <w:t xml:space="preserve">, a [JURISDICTION] [ENTITY TYPE] with its principal place of business at [ADDRESS] (the</w:t>
      </w:r>
      <w:r>
        <w:t xml:space="preserve"> </w:t>
      </w:r>
      <w:r>
        <w:t xml:space="preserve">“</w:t>
      </w:r>
      <w:r>
        <w:rPr>
          <w:bCs/>
          <w:b/>
        </w:rPr>
        <w:t xml:space="preserve">Counterparty</w:t>
      </w:r>
      <w:r>
        <w:t xml:space="preserve">”</w:t>
      </w:r>
      <w:r>
        <w:t xml:space="preserve">).</w:t>
      </w:r>
    </w:p>
    <w:p>
      <w:pPr>
        <w:pStyle w:val="FirstParagraph"/>
      </w:pPr>
      <w:r>
        <w:t xml:space="preserve">The parties want to discuss [PURPOSE, for example: a possible purchase of iDen2’s digital identity platform by the Counterparty] (the</w:t>
      </w:r>
      <w:r>
        <w:t xml:space="preserve"> </w:t>
      </w:r>
      <w:r>
        <w:t xml:space="preserve">“</w:t>
      </w:r>
      <w:r>
        <w:rPr>
          <w:bCs/>
          <w:b/>
        </w:rPr>
        <w:t xml:space="preserve">Purpose</w:t>
      </w:r>
      <w:r>
        <w:t xml:space="preserve">”</w:t>
      </w:r>
      <w:r>
        <w:t xml:space="preserve">). To do that, each may share confidential information with the other.</w:t>
      </w:r>
    </w:p>
    <w:bookmarkEnd w:id="24"/>
    <w:bookmarkStart w:id="25" w:name="confidential-information"/>
    <w:p>
      <w:pPr>
        <w:pStyle w:val="Heading1"/>
      </w:pPr>
      <w:r>
        <w:t xml:space="preserve">2. CONFIDENTIAL INFORMATION</w:t>
      </w:r>
    </w:p>
    <w:p>
      <w:pPr>
        <w:pStyle w:val="FirstParagraph"/>
      </w:pPr>
      <w:r>
        <w:rPr>
          <w:bCs/>
          <w:b/>
        </w:rPr>
        <w:t xml:space="preserve">2.1 What it is.</w:t>
      </w:r>
      <w:r>
        <w:t xml:space="preserve"> </w:t>
      </w:r>
      <w:r>
        <w:t xml:space="preserve">“</w:t>
      </w:r>
      <w:r>
        <w:rPr>
          <w:bCs/>
          <w:b/>
        </w:rPr>
        <w:t xml:space="preserve">Confidential Information</w:t>
      </w:r>
      <w:r>
        <w:t xml:space="preserve">”</w:t>
      </w:r>
      <w:r>
        <w:t xml:space="preserve"> </w:t>
      </w:r>
      <w:r>
        <w:t xml:space="preserve">means non-public information that one party (the</w:t>
      </w:r>
      <w:r>
        <w:t xml:space="preserve"> </w:t>
      </w:r>
      <w:r>
        <w:t xml:space="preserve">“</w:t>
      </w:r>
      <w:r>
        <w:rPr>
          <w:bCs/>
          <w:b/>
        </w:rPr>
        <w:t xml:space="preserve">Discloser</w:t>
      </w:r>
      <w:r>
        <w:t xml:space="preserve">”</w:t>
      </w:r>
      <w:r>
        <w:t xml:space="preserve">) or its Affiliates give to the other (the</w:t>
      </w:r>
      <w:r>
        <w:t xml:space="preserve"> </w:t>
      </w:r>
      <w:r>
        <w:t xml:space="preserve">“</w:t>
      </w:r>
      <w:r>
        <w:rPr>
          <w:bCs/>
          <w:b/>
        </w:rPr>
        <w:t xml:space="preserve">Recipient</w:t>
      </w:r>
      <w:r>
        <w:t xml:space="preserve">”</w:t>
      </w:r>
      <w:r>
        <w:t xml:space="preserve">) in connection with the Purpose, in any form, that is marked confidential or that a reasonable person would understand to be confidential from its nature and the circumstances. For iDen2, this includes platform architecture, source code, designs, security documents, product roadmaps, pricing, customer and partner details, and investor and financial information.</w:t>
      </w:r>
    </w:p>
    <w:p>
      <w:pPr>
        <w:pStyle w:val="BodyText"/>
      </w:pPr>
      <w:r>
        <w:rPr>
          <w:bCs/>
          <w:b/>
        </w:rPr>
        <w:t xml:space="preserve">2.2 Exceptions.</w:t>
      </w:r>
      <w:r>
        <w:t xml:space="preserve"> </w:t>
      </w:r>
      <w:r>
        <w:t xml:space="preserve">Confidential Information does not include information that: (a) is or becomes public through no fault of the Recipient; (b) the Recipient already knew without a duty of confidence; (c) the Recipient receives from a third party who had the right to share it; or (d) the Recipient develops on its own without using the Discloser’s information. The Recipient must be able to show this by written records.</w:t>
      </w:r>
    </w:p>
    <w:p>
      <w:pPr>
        <w:pStyle w:val="BodyText"/>
      </w:pPr>
      <w:r>
        <w:rPr>
          <w:bCs/>
          <w:b/>
        </w:rPr>
        <w:t xml:space="preserve">2.3 [Option: One-way.]</w:t>
      </w:r>
      <w:r>
        <w:t xml:space="preserve"> </w:t>
      </w:r>
      <w:r>
        <w:t xml:space="preserve">[Only the Counterparty will disclose information, and iDen2 is the Recipient.] [Delete if mutual.]</w:t>
      </w:r>
    </w:p>
    <w:bookmarkEnd w:id="25"/>
    <w:bookmarkStart w:id="26" w:name="what-the-recipient-must-do"/>
    <w:p>
      <w:pPr>
        <w:pStyle w:val="Heading1"/>
      </w:pPr>
      <w:r>
        <w:t xml:space="preserve">3. WHAT THE RECIPIENT MUST DO</w:t>
      </w:r>
    </w:p>
    <w:p>
      <w:pPr>
        <w:pStyle w:val="FirstParagraph"/>
      </w:pPr>
      <w:r>
        <w:t xml:space="preserve">The Recipient will:</w:t>
      </w:r>
    </w:p>
    <w:p>
      <w:pPr>
        <w:numPr>
          <w:ilvl w:val="0"/>
          <w:numId w:val="1002"/>
        </w:numPr>
        <w:pStyle w:val="Compact"/>
      </w:pPr>
      <w:r>
        <w:t xml:space="preserve">Use Confidential Information only for the Purpose.</w:t>
      </w:r>
    </w:p>
    <w:p>
      <w:pPr>
        <w:numPr>
          <w:ilvl w:val="0"/>
          <w:numId w:val="1002"/>
        </w:numPr>
        <w:pStyle w:val="Compact"/>
      </w:pPr>
      <w:r>
        <w:t xml:space="preserve">Keep it secret and protect it with at least the care it uses for its own similar information, and no less than reasonable care.</w:t>
      </w:r>
    </w:p>
    <w:p>
      <w:pPr>
        <w:numPr>
          <w:ilvl w:val="0"/>
          <w:numId w:val="1002"/>
        </w:numPr>
        <w:pStyle w:val="Compact"/>
      </w:pPr>
      <w:r>
        <w:t xml:space="preserve">Share it only with employees, Affiliates, contractors, and professional advisers who need it for the Purpose and who are bound by confidentiality duties at least as strict as these. The Recipient is responsible if any of them breaks these duties.</w:t>
      </w:r>
    </w:p>
    <w:p>
      <w:pPr>
        <w:numPr>
          <w:ilvl w:val="0"/>
          <w:numId w:val="1002"/>
        </w:numPr>
        <w:pStyle w:val="Compact"/>
      </w:pPr>
      <w:r>
        <w:t xml:space="preserve">Not copy it except as needed for the Purpose, and keep any copies marked as confidential.</w:t>
      </w:r>
    </w:p>
    <w:p>
      <w:pPr>
        <w:numPr>
          <w:ilvl w:val="0"/>
          <w:numId w:val="1002"/>
        </w:numPr>
        <w:pStyle w:val="Compact"/>
      </w:pPr>
      <w:r>
        <w:t xml:space="preserve">Not reverse engineer, decompile, or analyze any software, hardware, or prototype that the Discloser gives it.</w:t>
      </w:r>
    </w:p>
    <w:p>
      <w:pPr>
        <w:numPr>
          <w:ilvl w:val="0"/>
          <w:numId w:val="1002"/>
        </w:numPr>
        <w:pStyle w:val="Compact"/>
      </w:pPr>
      <w:r>
        <w:t xml:space="preserve">Tell the Discloser promptly if it learns of any unauthorized use or disclosure.</w:t>
      </w:r>
    </w:p>
    <w:bookmarkEnd w:id="26"/>
    <w:bookmarkStart w:id="27" w:name="legal-requirements"/>
    <w:p>
      <w:pPr>
        <w:pStyle w:val="Heading1"/>
      </w:pPr>
      <w:r>
        <w:t xml:space="preserve">4. LEGAL REQUIREMENTS</w:t>
      </w:r>
    </w:p>
    <w:p>
      <w:pPr>
        <w:pStyle w:val="FirstParagraph"/>
      </w:pPr>
      <w:r>
        <w:t xml:space="preserve">The Recipient may disclose Confidential Information if the law, a court, or a government authority requires it. Where the law allows, the Recipient will give the Discloser prompt notice, help the Discloser seek protection, and disclose only what is legally required.</w:t>
      </w:r>
    </w:p>
    <w:bookmarkEnd w:id="27"/>
    <w:bookmarkStart w:id="28" w:name="ownership-and-no-license"/>
    <w:p>
      <w:pPr>
        <w:pStyle w:val="Heading1"/>
      </w:pPr>
      <w:r>
        <w:t xml:space="preserve">5. OWNERSHIP AND NO LICENSE</w:t>
      </w:r>
    </w:p>
    <w:p>
      <w:pPr>
        <w:pStyle w:val="FirstParagraph"/>
      </w:pPr>
      <w:r>
        <w:t xml:space="preserve">All Confidential Information stays the property of the Discloser. This NDA gives no license or right to any patent, copyright, trade secret, or other intellectual property, except the limited right to use Confidential Information for the Purpose. Neither party has to share any particular information or to do business with the other. Information is provided</w:t>
      </w:r>
      <w:r>
        <w:t xml:space="preserve"> </w:t>
      </w:r>
      <w:r>
        <w:t xml:space="preserve">“</w:t>
      </w:r>
      <w:r>
        <w:t xml:space="preserve">as is</w:t>
      </w:r>
      <w:r>
        <w:t xml:space="preserve">”</w:t>
      </w:r>
      <w:r>
        <w:t xml:space="preserve"> </w:t>
      </w:r>
      <w:r>
        <w:t xml:space="preserve">and with no warranty of accuracy or completeness.</w:t>
      </w:r>
    </w:p>
    <w:bookmarkEnd w:id="28"/>
    <w:bookmarkStart w:id="29" w:name="return-and-deletion"/>
    <w:p>
      <w:pPr>
        <w:pStyle w:val="Heading1"/>
      </w:pPr>
      <w:r>
        <w:t xml:space="preserve">6. RETURN AND DELETION</w:t>
      </w:r>
    </w:p>
    <w:p>
      <w:pPr>
        <w:pStyle w:val="FirstParagraph"/>
      </w:pPr>
      <w:r>
        <w:t xml:space="preserve">On written request, or when the Purpose ends, the Recipient will within 30 days return or delete the Discloser’s Confidential Information and confirm in writing that it has done so. The Recipient may keep copies that it must keep by law or that sit in routine electronic backups, and those copies stay protected under this NDA for as long as it keeps them.</w:t>
      </w:r>
    </w:p>
    <w:bookmarkEnd w:id="29"/>
    <w:bookmarkStart w:id="30" w:name="term"/>
    <w:p>
      <w:pPr>
        <w:pStyle w:val="Heading1"/>
      </w:pPr>
      <w:r>
        <w:t xml:space="preserve">7. TERM</w:t>
      </w:r>
    </w:p>
    <w:p>
      <w:pPr>
        <w:pStyle w:val="FirstParagraph"/>
      </w:pPr>
      <w:r>
        <w:t xml:space="preserve">This NDA covers disclosures made during the [2] years after the Effective Date. The Recipient’s duties continue for [5] years after the last disclosure. For trade secrets, including source code, they continue for as long as the information remains a trade secret under the law. Either party may end the disclosure period earlier by 30 days’ written notice.</w:t>
      </w:r>
    </w:p>
    <w:bookmarkEnd w:id="30"/>
    <w:bookmarkStart w:id="31" w:name="personal-data"/>
    <w:p>
      <w:pPr>
        <w:pStyle w:val="Heading1"/>
      </w:pPr>
      <w:r>
        <w:t xml:space="preserve">8. PERSONAL DATA</w:t>
      </w:r>
    </w:p>
    <w:p>
      <w:pPr>
        <w:pStyle w:val="FirstParagraph"/>
      </w:pPr>
      <w:r>
        <w:t xml:space="preserve">The parties do not intend to share Personal Data under this NDA, other than business contact details. If they do, each will follow applicable data protection laws and, where needed, sign a data processing agreement first.</w:t>
      </w:r>
    </w:p>
    <w:bookmarkEnd w:id="31"/>
    <w:bookmarkStart w:id="32" w:name="residuals-and-freedom-to-operate"/>
    <w:p>
      <w:pPr>
        <w:pStyle w:val="Heading1"/>
      </w:pPr>
      <w:r>
        <w:t xml:space="preserve">9. RESIDUALS AND FREEDOM TO OPERATE</w:t>
      </w:r>
    </w:p>
    <w:p>
      <w:pPr>
        <w:pStyle w:val="FirstParagraph"/>
      </w:pPr>
      <w:r>
        <w:t xml:space="preserve">This NDA does not stop either party from developing or buying products or services that compete with the other’s, as long as it does so without using or disclosing the other’s Confidential Information. [iDen2 and the Counterparty may each work with other parties in the same field.] Ideas retained in a person’s unaided memory are not a breach on their own, but this does not give any right to use the Discloser’s patents, copyrights, source code, or identified trade secrets.</w:t>
      </w:r>
    </w:p>
    <w:p>
      <w:pPr>
        <w:pStyle w:val="BlockText"/>
      </w:pPr>
      <w:r>
        <w:rPr>
          <w:bCs/>
          <w:b/>
        </w:rPr>
        <w:t xml:space="preserve">Drafting note:</w:t>
      </w:r>
      <w:r>
        <w:t xml:space="preserve"> </w:t>
      </w:r>
      <w:r>
        <w:t xml:space="preserve">Counterparties sometimes push for a</w:t>
      </w:r>
      <w:r>
        <w:t xml:space="preserve"> </w:t>
      </w:r>
      <w:r>
        <w:t xml:space="preserve">“</w:t>
      </w:r>
      <w:r>
        <w:t xml:space="preserve">no-compete</w:t>
      </w:r>
      <w:r>
        <w:t xml:space="preserve">”</w:t>
      </w:r>
      <w:r>
        <w:t xml:space="preserve"> </w:t>
      </w:r>
      <w:r>
        <w:t xml:space="preserve">or</w:t>
      </w:r>
      <w:r>
        <w:t xml:space="preserve"> </w:t>
      </w:r>
      <w:r>
        <w:t xml:space="preserve">“</w:t>
      </w:r>
      <w:r>
        <w:t xml:space="preserve">non-solicit of customers</w:t>
      </w:r>
      <w:r>
        <w:t xml:space="preserve">”</w:t>
      </w:r>
      <w:r>
        <w:t xml:space="preserve"> </w:t>
      </w:r>
      <w:r>
        <w:t xml:space="preserve">clause. Refuse. If they insist on a non-solicit of employees, accept a mutual 12-month limit on directly soliciting employees with whom the party worked, with an exception for general job ads.</w:t>
      </w:r>
    </w:p>
    <w:bookmarkEnd w:id="32"/>
    <w:bookmarkStart w:id="33" w:name="securities-and-investor-information"/>
    <w:p>
      <w:pPr>
        <w:pStyle w:val="Heading1"/>
      </w:pPr>
      <w:r>
        <w:t xml:space="preserve">10. SECURITIES AND INVESTOR INFORMATION</w:t>
      </w:r>
    </w:p>
    <w:p>
      <w:pPr>
        <w:pStyle w:val="FirstParagraph"/>
      </w:pPr>
      <w:r>
        <w:t xml:space="preserve">If the Counterparty is an investor or its adviser, it acknowledges that information about iDen2’s finances, fundraising, and cap table may be material and non-public and that applicable securities laws may restrict how it trades or advises on that information.</w:t>
      </w:r>
    </w:p>
    <w:bookmarkEnd w:id="33"/>
    <w:bookmarkStart w:id="34" w:name="remedies"/>
    <w:p>
      <w:pPr>
        <w:pStyle w:val="Heading1"/>
      </w:pPr>
      <w:r>
        <w:t xml:space="preserve">11. REMEDIES</w:t>
      </w:r>
    </w:p>
    <w:p>
      <w:pPr>
        <w:pStyle w:val="FirstParagraph"/>
      </w:pPr>
      <w:r>
        <w:t xml:space="preserve">The parties agree that breach of this NDA may cause harm that money cannot fully repair. The Discloser may ask a court for an injunction or similar relief without having to prove actual damages or post a bond, in addition to any other remedy.</w:t>
      </w:r>
    </w:p>
    <w:bookmarkEnd w:id="34"/>
    <w:bookmarkStart w:id="35" w:name="law-and-disputes"/>
    <w:p>
      <w:pPr>
        <w:pStyle w:val="Heading1"/>
      </w:pPr>
      <w:r>
        <w:t xml:space="preserve">12. LAW AND DISPUTES</w:t>
      </w:r>
    </w:p>
    <w:p>
      <w:pPr>
        <w:pStyle w:val="FirstParagraph"/>
      </w:pPr>
      <w:r>
        <w:t xml:space="preserve">This NDA is governed by the laws of the State of Wyoming, USA, without regard to conflict-of-laws rules. The parties submit to the exclusive jurisdiction of the state and federal courts located in Wyoming. Each waives any right to a jury trial. [For non-US counterparties, see the Template Guide for the arbitration alternative.]</w:t>
      </w:r>
    </w:p>
    <w:bookmarkEnd w:id="35"/>
    <w:bookmarkStart w:id="36" w:name="general"/>
    <w:p>
      <w:pPr>
        <w:pStyle w:val="Heading1"/>
      </w:pPr>
      <w:r>
        <w:t xml:space="preserve">13. GENERAL</w:t>
      </w:r>
    </w:p>
    <w:p>
      <w:pPr>
        <w:pStyle w:val="FirstParagraph"/>
      </w:pPr>
      <w:r>
        <w:rPr>
          <w:bCs/>
          <w:b/>
        </w:rPr>
        <w:t xml:space="preserve">13.1 Whole agreement.</w:t>
      </w:r>
      <w:r>
        <w:t xml:space="preserve"> </w:t>
      </w:r>
      <w:r>
        <w:t xml:space="preserve">This NDA is the whole agreement on its subject. It replaces earlier confidentiality agreements on the same Purpose, but information already shared stays protected under this NDA.</w:t>
      </w:r>
    </w:p>
    <w:p>
      <w:pPr>
        <w:pStyle w:val="BodyText"/>
      </w:pPr>
      <w:r>
        <w:rPr>
          <w:bCs/>
          <w:b/>
        </w:rPr>
        <w:t xml:space="preserve">13.2 Changes and waivers.</w:t>
      </w:r>
      <w:r>
        <w:t xml:space="preserve"> </w:t>
      </w:r>
      <w:r>
        <w:t xml:space="preserve">Changes must be in writing and signed by both parties. A delay in enforcing a right is not a waiver.</w:t>
      </w:r>
    </w:p>
    <w:p>
      <w:pPr>
        <w:pStyle w:val="BodyText"/>
      </w:pPr>
      <w:r>
        <w:rPr>
          <w:bCs/>
          <w:b/>
        </w:rPr>
        <w:t xml:space="preserve">13.3 Assignment.</w:t>
      </w:r>
      <w:r>
        <w:t xml:space="preserve"> </w:t>
      </w:r>
      <w:r>
        <w:t xml:space="preserve">Neither party may assign this NDA without the other’s written consent, except to a successor of all or substantially all of its business.</w:t>
      </w:r>
    </w:p>
    <w:p>
      <w:pPr>
        <w:pStyle w:val="BodyText"/>
      </w:pPr>
      <w:r>
        <w:rPr>
          <w:bCs/>
          <w:b/>
        </w:rPr>
        <w:t xml:space="preserve">13.4 Notices.</w:t>
      </w:r>
      <w:r>
        <w:t xml:space="preserve"> </w:t>
      </w:r>
      <w:r>
        <w:t xml:space="preserve">Notices go to the addresses above, with email to legal@iden2.com for iDen2 and [EMAIL] for the Counterparty.</w:t>
      </w:r>
    </w:p>
    <w:p>
      <w:pPr>
        <w:pStyle w:val="BodyText"/>
      </w:pPr>
      <w:r>
        <w:rPr>
          <w:bCs/>
          <w:b/>
        </w:rPr>
        <w:t xml:space="preserve">13.5 Severability.</w:t>
      </w:r>
      <w:r>
        <w:t xml:space="preserve"> </w:t>
      </w:r>
      <w:r>
        <w:t xml:space="preserve">If a part is found unenforceable, it will be limited to the smallest extent needed, and the rest stays in force.</w:t>
      </w:r>
    </w:p>
    <w:p>
      <w:pPr>
        <w:pStyle w:val="BodyText"/>
      </w:pPr>
      <w:r>
        <w:rPr>
          <w:bCs/>
          <w:b/>
        </w:rPr>
        <w:t xml:space="preserve">13.6 Counterparts.</w:t>
      </w:r>
      <w:r>
        <w:t xml:space="preserve"> </w:t>
      </w:r>
      <w:r>
        <w:t xml:space="preserve">This NDA may be signed electronically and in counterparts.</w:t>
      </w:r>
    </w:p>
    <w:p>
      <w:pPr>
        <w:pStyle w:val="BodyText"/>
      </w:pPr>
      <w:r>
        <w:rPr>
          <w:bCs/>
          <w:b/>
        </w:rPr>
        <w:t xml:space="preserve">13.7 Export.</w:t>
      </w:r>
      <w:r>
        <w:t xml:space="preserve"> </w:t>
      </w:r>
      <w:r>
        <w:t xml:space="preserve">Each party will comply with applicable export control and sanctions laws for any technical data it shares.</w:t>
      </w:r>
    </w:p>
    <w:bookmarkEnd w:id="36"/>
    <w:bookmarkStart w:id="37"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[COUNTERPARTY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37"/>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Mutual NDA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2026-10-10T22:14:56Z</dcterms:created>
  <dcterms:modified xsi:type="dcterms:W3CDTF">2026-10-10T22:14:56Z</dcterms:modified>
</cp:coreProperties>
</file>

<file path=docProps/custom.xml><?xml version="1.0" encoding="utf-8"?>
<Properties xmlns="http://schemas.openxmlformats.org/officeDocument/2006/custom-properties" xmlns:vt="http://schemas.openxmlformats.org/officeDocument/2006/docPropsVTypes"/>
</file>