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data-processing-addendum"/>
    <w:p>
      <w:pPr>
        <w:pStyle w:val="Heading1"/>
      </w:pPr>
      <w:r>
        <w:t xml:space="preserve">DATA PROCESSING ADDENDUM</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CODE]-DPA-[YYYY]-[###]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Forms part of</w:t>
            </w:r>
          </w:p>
        </w:tc>
        <w:tc>
          <w:tcPr>
            <w:tcW w:type="dxa" w:w="6624"/>
          </w:tcPr>
          <w:p>
            <w:pPr>
              <w:pStyle w:val="Compact"/>
              <w:spacing w:after="20" w:before="20"/>
              <w:jc w:val="left"/>
            </w:pPr>
            <w:r>
              <w:rPr>
                <w:rFonts w:ascii="Calibri" w:hAnsi="Calibri"/>
                <w:sz w:val="19"/>
              </w:rPr>
              <w:t xml:space="preserve">Master Services Agreement dated [DATE], reference [MSA REF] (the</w:t>
            </w:r>
            <w:r>
              <w:rPr>
                <w:rFonts w:ascii="Calibri" w:hAnsi="Calibri"/>
                <w:sz w:val="19"/>
              </w:rPr>
              <w:t xml:space="preserve"> </w:t>
            </w:r>
            <w:r>
              <w:rPr>
                <w:rFonts w:ascii="Calibri" w:hAnsi="Calibri"/>
                <w:sz w:val="19"/>
              </w:rPr>
              <w:t xml:space="preserve">“</w:t>
            </w:r>
            <w:r>
              <w:rPr>
                <w:bCs/>
                <w:rFonts w:ascii="Calibri" w:hAnsi="Calibri"/>
                <w:b/>
                <w:sz w:val="19"/>
              </w:rPr>
              <w:t xml:space="preserve">MSA</w:t>
            </w:r>
            <w:r>
              <w:rPr>
                <w:rFonts w:ascii="Calibri" w:hAnsi="Calibri"/>
                <w:sz w:val="19"/>
              </w:rPr>
              <w:t xml:space="preserve">”</w:t>
            </w:r>
            <w:r>
              <w:rPr>
                <w:rFonts w:ascii="Calibri" w:hAnsi="Calibri"/>
                <w:sz w:val="19"/>
              </w:rPr>
              <w:t xml:space="preserve">)</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Use whenever iDen2 will process Personal Data for the customer, including in a Proof of Value that uses real data. This form covers the GDPR, the UK GDPR, the Swiss FADP, and US state privacy laws, so one version works for most customers. Before signing with an EU or UK customer, have counsel confirm the transfer mechanism in Section 9 and the Sub-processor list in Annex 3. Annex 3 must be filled from the real list of vendors. Do not sign with an empty or guessed list.</w:t>
      </w:r>
    </w:p>
    <w:bookmarkEnd w:id="23"/>
    <w:bookmarkStart w:id="24" w:name="definitions-and-roles"/>
    <w:p>
      <w:pPr>
        <w:pStyle w:val="Heading1"/>
      </w:pPr>
      <w:r>
        <w:t xml:space="preserve">1. DEFINITIONS AND ROLES</w:t>
      </w:r>
    </w:p>
    <w:p>
      <w:pPr>
        <w:pStyle w:val="FirstParagraph"/>
      </w:pPr>
      <w:r>
        <w:rPr>
          <w:bCs/>
          <w:b/>
        </w:rPr>
        <w:t xml:space="preserve">1.1 Defined terms.</w:t>
      </w:r>
      <w:r>
        <w:t xml:space="preserve"> </w:t>
      </w:r>
      <w:r>
        <w:t xml:space="preserve">“</w:t>
      </w:r>
      <w:r>
        <w:rPr>
          <w:bCs/>
          <w:b/>
        </w:rPr>
        <w:t xml:space="preserve">Controller</w:t>
      </w:r>
      <w:r>
        <w:t xml:space="preserve">”</w:t>
      </w:r>
      <w:r>
        <w:t xml:space="preserve">,</w:t>
      </w:r>
      <w:r>
        <w:t xml:space="preserve"> </w:t>
      </w:r>
      <w:r>
        <w:t xml:space="preserve">“</w:t>
      </w:r>
      <w:r>
        <w:rPr>
          <w:bCs/>
          <w:b/>
        </w:rPr>
        <w:t xml:space="preserve">Processor</w:t>
      </w:r>
      <w:r>
        <w:t xml:space="preserve">”</w:t>
      </w:r>
      <w:r>
        <w:t xml:space="preserve">,</w:t>
      </w:r>
      <w:r>
        <w:t xml:space="preserve"> </w:t>
      </w:r>
      <w:r>
        <w:t xml:space="preserve">“</w:t>
      </w:r>
      <w:r>
        <w:rPr>
          <w:bCs/>
          <w:b/>
        </w:rPr>
        <w:t xml:space="preserve">Data Subject</w:t>
      </w:r>
      <w:r>
        <w:t xml:space="preserve">”</w:t>
      </w:r>
      <w:r>
        <w:t xml:space="preserve">,</w:t>
      </w:r>
      <w:r>
        <w:t xml:space="preserve"> </w:t>
      </w:r>
      <w:r>
        <w:t xml:space="preserve">“</w:t>
      </w:r>
      <w:r>
        <w:rPr>
          <w:bCs/>
          <w:b/>
        </w:rPr>
        <w:t xml:space="preserve">Personal Data</w:t>
      </w:r>
      <w:r>
        <w:t xml:space="preserve">”</w:t>
      </w:r>
      <w:r>
        <w:t xml:space="preserve">,</w:t>
      </w:r>
      <w:r>
        <w:t xml:space="preserve"> </w:t>
      </w:r>
      <w:r>
        <w:t xml:space="preserve">“</w:t>
      </w:r>
      <w:r>
        <w:rPr>
          <w:bCs/>
          <w:b/>
        </w:rPr>
        <w:t xml:space="preserve">Processing</w:t>
      </w:r>
      <w:r>
        <w:t xml:space="preserve">”</w:t>
      </w:r>
      <w:r>
        <w:t xml:space="preserve">, and</w:t>
      </w:r>
      <w:r>
        <w:t xml:space="preserve"> </w:t>
      </w:r>
      <w:r>
        <w:t xml:space="preserve">“</w:t>
      </w:r>
      <w:r>
        <w:rPr>
          <w:bCs/>
          <w:b/>
        </w:rPr>
        <w:t xml:space="preserve">Supervisory Authority</w:t>
      </w:r>
      <w:r>
        <w:t xml:space="preserve">”</w:t>
      </w:r>
      <w:r>
        <w:t xml:space="preserve"> </w:t>
      </w:r>
      <w:r>
        <w:t xml:space="preserve">have the meaning given in Data Protection Law.</w:t>
      </w:r>
      <w:r>
        <w:t xml:space="preserve"> </w:t>
      </w:r>
      <w:r>
        <w:t xml:space="preserve">“</w:t>
      </w:r>
      <w:r>
        <w:rPr>
          <w:bCs/>
          <w:b/>
        </w:rPr>
        <w:t xml:space="preserve">Data Protection Law</w:t>
      </w:r>
      <w:r>
        <w:t xml:space="preserve">”</w:t>
      </w:r>
      <w:r>
        <w:t xml:space="preserve"> </w:t>
      </w:r>
      <w:r>
        <w:t xml:space="preserve">means all laws on privacy and data protection that apply to the Processing of Customer Personal Data, including the EU GDPR (Regulation 2016/679), the UK GDPR and Data Protection Act 2018, the Swiss Federal Act on Data Protection, and US state privacy laws such as the California Consumer Privacy Act as amended (</w:t>
      </w:r>
      <w:r>
        <w:t xml:space="preserve">“</w:t>
      </w:r>
      <w:r>
        <w:rPr>
          <w:bCs/>
          <w:b/>
        </w:rPr>
        <w:t xml:space="preserve">CCPA</w:t>
      </w:r>
      <w:r>
        <w:t xml:space="preserve">”</w:t>
      </w:r>
      <w:r>
        <w:t xml:space="preserve">).</w:t>
      </w:r>
      <w:r>
        <w:t xml:space="preserve"> </w:t>
      </w:r>
      <w:r>
        <w:t xml:space="preserve">“</w:t>
      </w:r>
      <w:r>
        <w:rPr>
          <w:bCs/>
          <w:b/>
        </w:rPr>
        <w:t xml:space="preserve">Customer Personal Data</w:t>
      </w:r>
      <w:r>
        <w:t xml:space="preserve">”</w:t>
      </w:r>
      <w:r>
        <w:t xml:space="preserve"> </w:t>
      </w:r>
      <w:r>
        <w:t xml:space="preserve">means Personal Data in Customer Data that iDen2 Processes for the Customer.</w:t>
      </w:r>
      <w:r>
        <w:t xml:space="preserve"> </w:t>
      </w:r>
      <w:r>
        <w:t xml:space="preserve">“</w:t>
      </w:r>
      <w:r>
        <w:rPr>
          <w:bCs/>
          <w:b/>
        </w:rPr>
        <w:t xml:space="preserve">Sub-processor</w:t>
      </w:r>
      <w:r>
        <w:t xml:space="preserve">”</w:t>
      </w:r>
      <w:r>
        <w:t xml:space="preserve"> </w:t>
      </w:r>
      <w:r>
        <w:t xml:space="preserve">means a third party iDen2 uses to Process Customer Personal Data.</w:t>
      </w:r>
      <w:r>
        <w:t xml:space="preserve"> </w:t>
      </w:r>
      <w:r>
        <w:t xml:space="preserve">“</w:t>
      </w:r>
      <w:r>
        <w:rPr>
          <w:bCs/>
          <w:b/>
        </w:rPr>
        <w:t xml:space="preserve">SCCs</w:t>
      </w:r>
      <w:r>
        <w:t xml:space="preserve">”</w:t>
      </w:r>
      <w:r>
        <w:t xml:space="preserve"> </w:t>
      </w:r>
      <w:r>
        <w:t xml:space="preserve">means the standard contractual clauses annexed to EU Commission Decision 2021/914.</w:t>
      </w:r>
    </w:p>
    <w:p>
      <w:pPr>
        <w:pStyle w:val="BodyText"/>
      </w:pPr>
      <w:r>
        <w:rPr>
          <w:bCs/>
          <w:b/>
        </w:rPr>
        <w:t xml:space="preserve">1.2 Roles.</w:t>
      </w:r>
      <w:r>
        <w:t xml:space="preserve"> </w:t>
      </w:r>
      <w:r>
        <w:t xml:space="preserve">For Customer Personal Data, the Customer is the Controller (or Processor acting for its own Controller) and iDen2 is the Processor (or sub-processor). Each party is an independent Controller for the business contact data and account data it holds about the other, and for iDen2’s Usage Data, and processes that data under its own privacy notice.</w:t>
      </w:r>
    </w:p>
    <w:p>
      <w:pPr>
        <w:pStyle w:val="BodyText"/>
      </w:pPr>
      <w:r>
        <w:rPr>
          <w:bCs/>
          <w:b/>
        </w:rPr>
        <w:t xml:space="preserve">1.3 Holders.</w:t>
      </w:r>
      <w:r>
        <w:t xml:space="preserve"> </w:t>
      </w:r>
      <w:r>
        <w:t xml:space="preserve">In credential issuance, the Customer decides why and how Holders’ data is used. iDen2 does not decide the purposes of that Processing. If iDen2 provides a wallet app to Holders under its own terms (and the Order Form says so), iDen2 is a separate Controller for the Holder’s account data in that app, as described in its notice to the Holder.</w:t>
      </w:r>
    </w:p>
    <w:bookmarkEnd w:id="24"/>
    <w:bookmarkStart w:id="25" w:name="processing-instructions"/>
    <w:p>
      <w:pPr>
        <w:pStyle w:val="Heading1"/>
      </w:pPr>
      <w:r>
        <w:t xml:space="preserve">2. PROCESSING INSTRUCTIONS</w:t>
      </w:r>
    </w:p>
    <w:p>
      <w:pPr>
        <w:pStyle w:val="FirstParagraph"/>
      </w:pPr>
      <w:r>
        <w:rPr>
          <w:bCs/>
          <w:b/>
        </w:rPr>
        <w:t xml:space="preserve">2.1 Instructions.</w:t>
      </w:r>
      <w:r>
        <w:t xml:space="preserve"> </w:t>
      </w:r>
      <w:r>
        <w:t xml:space="preserve">iDen2 will Process Customer Personal Data only on the Customer’s documented instructions. The MSA, the Order Form, this DPA, and the Customer’s use of the Platform’s settings are the Customer’s full instructions. iDen2 will tell the Customer if it believes an instruction breaks Data Protection Law, and may pause that Processing until the instruction is clarified.</w:t>
      </w:r>
    </w:p>
    <w:p>
      <w:pPr>
        <w:pStyle w:val="BodyText"/>
      </w:pPr>
      <w:r>
        <w:rPr>
          <w:bCs/>
          <w:b/>
        </w:rPr>
        <w:t xml:space="preserve">2.2 Details.</w:t>
      </w:r>
      <w:r>
        <w:t xml:space="preserve"> </w:t>
      </w:r>
      <w:r>
        <w:t xml:space="preserve">Annex 1 sets out the subject, duration, nature, purpose, data types, and Data Subjects.</w:t>
      </w:r>
    </w:p>
    <w:p>
      <w:pPr>
        <w:pStyle w:val="BodyText"/>
      </w:pPr>
      <w:r>
        <w:rPr>
          <w:bCs/>
          <w:b/>
        </w:rPr>
        <w:t xml:space="preserve">2.3 Customer’s duties.</w:t>
      </w:r>
      <w:r>
        <w:t xml:space="preserve"> </w:t>
      </w:r>
      <w:r>
        <w:t xml:space="preserve">The Customer confirms it has a lawful basis for the Processing, has given all notices and obtained all consents needed, and will not instruct iDen2 to Process data in breach of Data Protection Law.</w:t>
      </w:r>
    </w:p>
    <w:p>
      <w:pPr>
        <w:pStyle w:val="BodyText"/>
      </w:pPr>
      <w:r>
        <w:rPr>
          <w:bCs/>
          <w:b/>
        </w:rPr>
        <w:t xml:space="preserve">2.4 CCPA.</w:t>
      </w:r>
      <w:r>
        <w:t xml:space="preserve"> </w:t>
      </w:r>
      <w:r>
        <w:t xml:space="preserve">For Personal Data covered by the CCPA, iDen2 is a</w:t>
      </w:r>
      <w:r>
        <w:t xml:space="preserve"> </w:t>
      </w:r>
      <w:r>
        <w:t xml:space="preserve">“</w:t>
      </w:r>
      <w:r>
        <w:t xml:space="preserve">service provider</w:t>
      </w:r>
      <w:r>
        <w:t xml:space="preserve">”</w:t>
      </w:r>
      <w:r>
        <w:t xml:space="preserve"> </w:t>
      </w:r>
      <w:r>
        <w:t xml:space="preserve">and will not: (a) sell or share the Personal Data; (b) retain, use, or disclose it for any purpose other than the business purposes in the MSA, or outside the direct business relationship; (c) combine it with other data, except as the CCPA allows; and iDen2 will tell the Customer if it can no longer meet its CCPA duties. The Customer may take reasonable steps to stop and fix unauthorized use.</w:t>
      </w:r>
    </w:p>
    <w:bookmarkEnd w:id="25"/>
    <w:bookmarkStart w:id="26" w:name="confidentiality-and-security"/>
    <w:p>
      <w:pPr>
        <w:pStyle w:val="Heading1"/>
      </w:pPr>
      <w:r>
        <w:t xml:space="preserve">3. CONFIDENTIALITY AND SECURITY</w:t>
      </w:r>
    </w:p>
    <w:p>
      <w:pPr>
        <w:pStyle w:val="FirstParagraph"/>
      </w:pPr>
      <w:r>
        <w:rPr>
          <w:bCs/>
          <w:b/>
        </w:rPr>
        <w:t xml:space="preserve">3.1 Staff.</w:t>
      </w:r>
      <w:r>
        <w:t xml:space="preserve"> </w:t>
      </w:r>
      <w:r>
        <w:t xml:space="preserve">iDen2 will make sure its personnel who access Customer Personal Data are bound by confidentiality duties and are trained.</w:t>
      </w:r>
    </w:p>
    <w:p>
      <w:pPr>
        <w:pStyle w:val="BodyText"/>
      </w:pPr>
      <w:r>
        <w:rPr>
          <w:bCs/>
          <w:b/>
        </w:rPr>
        <w:t xml:space="preserve">3.2 Security measures.</w:t>
      </w:r>
      <w:r>
        <w:t xml:space="preserve"> </w:t>
      </w:r>
      <w:r>
        <w:t xml:space="preserve">iDen2 will apply the technical and organizational measures in Annex 2 and the Security Addendum. iDen2 may update them if the changes do not materially lower the level of protection.</w:t>
      </w:r>
    </w:p>
    <w:bookmarkEnd w:id="26"/>
    <w:bookmarkStart w:id="27" w:name="sub-processors"/>
    <w:p>
      <w:pPr>
        <w:pStyle w:val="Heading1"/>
      </w:pPr>
      <w:r>
        <w:t xml:space="preserve">4. SUB-PROCESSORS</w:t>
      </w:r>
    </w:p>
    <w:p>
      <w:pPr>
        <w:pStyle w:val="FirstParagraph"/>
      </w:pPr>
      <w:r>
        <w:rPr>
          <w:bCs/>
          <w:b/>
        </w:rPr>
        <w:t xml:space="preserve">4.1 General authorization.</w:t>
      </w:r>
      <w:r>
        <w:t xml:space="preserve"> </w:t>
      </w:r>
      <w:r>
        <w:t xml:space="preserve">The Customer gives general authorization for iDen2 to use the Sub-processors in Annex 3.</w:t>
      </w:r>
    </w:p>
    <w:p>
      <w:pPr>
        <w:pStyle w:val="BodyText"/>
      </w:pPr>
      <w:r>
        <w:rPr>
          <w:bCs/>
          <w:b/>
        </w:rPr>
        <w:t xml:space="preserve">4.2 Changes.</w:t>
      </w:r>
      <w:r>
        <w:t xml:space="preserve"> </w:t>
      </w:r>
      <w:r>
        <w:t xml:space="preserve">iDen2 will give the Customer at least 30 days’ notice (by email or in the Documentation) before it adds or replaces a Sub-processor. The Customer may object on reasonable data protection grounds within 15 days. The parties will work in good faith to resolve it. If they cannot, the Customer may end the affected service by written notice and receive a refund of prepaid fees for the period after termination.</w:t>
      </w:r>
    </w:p>
    <w:p>
      <w:pPr>
        <w:pStyle w:val="BodyText"/>
      </w:pPr>
      <w:r>
        <w:rPr>
          <w:bCs/>
          <w:b/>
        </w:rPr>
        <w:t xml:space="preserve">4.3 Flow-down.</w:t>
      </w:r>
      <w:r>
        <w:t xml:space="preserve"> </w:t>
      </w:r>
      <w:r>
        <w:t xml:space="preserve">iDen2 will sign a written contract with each Sub-processor that has data protection duties no less protective than this DPA, and remains responsible for each Sub-processor’s performance.</w:t>
      </w:r>
    </w:p>
    <w:bookmarkEnd w:id="27"/>
    <w:bookmarkStart w:id="28" w:name="data-subject-requests-and-assistance"/>
    <w:p>
      <w:pPr>
        <w:pStyle w:val="Heading1"/>
      </w:pPr>
      <w:r>
        <w:t xml:space="preserve">5. DATA SUBJECT REQUESTS AND ASSISTANCE</w:t>
      </w:r>
    </w:p>
    <w:p>
      <w:pPr>
        <w:pStyle w:val="FirstParagraph"/>
      </w:pPr>
      <w:r>
        <w:rPr>
          <w:bCs/>
          <w:b/>
        </w:rPr>
        <w:t xml:space="preserve">5.1 Requests.</w:t>
      </w:r>
      <w:r>
        <w:t xml:space="preserve"> </w:t>
      </w:r>
      <w:r>
        <w:t xml:space="preserve">If iDen2 receives a request from a Data Subject about Customer Personal Data, it will tell the Customer promptly and will not respond except to say the request has been passed on, unless the law requires otherwise.</w:t>
      </w:r>
    </w:p>
    <w:p>
      <w:pPr>
        <w:pStyle w:val="BodyText"/>
      </w:pPr>
      <w:r>
        <w:rPr>
          <w:bCs/>
          <w:b/>
        </w:rPr>
        <w:t xml:space="preserve">5.2 Help.</w:t>
      </w:r>
      <w:r>
        <w:t xml:space="preserve"> </w:t>
      </w:r>
      <w:r>
        <w:t xml:space="preserve">Taking into account the nature of the Processing, iDen2 will give the Customer reasonable help, through the Platform’s tools where available, to answer Data Subject requests and to meet the Customer’s duties on security, breach notification, data protection impact assessments, and prior consultation with a Supervisory Authority. iDen2 may charge for help that goes beyond standard Platform features and exceeds [8] hours in a year, at its professional services rates.</w:t>
      </w:r>
    </w:p>
    <w:p>
      <w:pPr>
        <w:pStyle w:val="BodyText"/>
      </w:pPr>
      <w:r>
        <w:rPr>
          <w:bCs/>
          <w:b/>
        </w:rPr>
        <w:t xml:space="preserve">5.3 Public-by-design records.</w:t>
      </w:r>
      <w:r>
        <w:t xml:space="preserve"> </w:t>
      </w:r>
      <w:r>
        <w:t xml:space="preserve">The Customer understands that some records, such as decentralized identifiers, issuer public keys, schemas, revocation lists, and distributed ledger entries, may be public or shared by design and cannot be changed once written (MSA Section 9.7). The Customer must not put Personal Data in them. iDen2 is not responsible for erasing data that the Customer put in such records against this rule.</w:t>
      </w:r>
    </w:p>
    <w:bookmarkEnd w:id="28"/>
    <w:bookmarkStart w:id="29" w:name="personal-data-breach"/>
    <w:p>
      <w:pPr>
        <w:pStyle w:val="Heading1"/>
      </w:pPr>
      <w:r>
        <w:t xml:space="preserve">6. PERSONAL DATA BREACH</w:t>
      </w:r>
    </w:p>
    <w:p>
      <w:pPr>
        <w:pStyle w:val="FirstParagraph"/>
      </w:pPr>
      <w:r>
        <w:t xml:space="preserve">iDen2 will tell the Customer without undue delay, and within [72] hours, after it confirms a Security Incident affecting Customer Personal Data. The notice will include, as far as known: what happened, the types and approximate number of Data Subjects and records, likely consequences, and steps taken or planned. iDen2 will keep the Customer informed as it learns more. The Customer decides if and how to notify regulators and Data Subjects.</w:t>
      </w:r>
    </w:p>
    <w:bookmarkEnd w:id="29"/>
    <w:bookmarkStart w:id="30" w:name="audits"/>
    <w:p>
      <w:pPr>
        <w:pStyle w:val="Heading1"/>
      </w:pPr>
      <w:r>
        <w:t xml:space="preserve">7. AUDITS</w:t>
      </w:r>
    </w:p>
    <w:p>
      <w:pPr>
        <w:pStyle w:val="FirstParagraph"/>
      </w:pPr>
      <w:r>
        <w:rPr>
          <w:bCs/>
          <w:b/>
        </w:rPr>
        <w:t xml:space="preserve">7.1 Information.</w:t>
      </w:r>
      <w:r>
        <w:t xml:space="preserve"> </w:t>
      </w:r>
      <w:r>
        <w:t xml:space="preserve">On request, iDen2 will give the Customer the information needed to show that it follows this DPA, such as its Security Addendum, summaries of third-party audit reports or certifications that iDen2 holds, and answers to a reasonable security questionnaire.</w:t>
      </w:r>
    </w:p>
    <w:p>
      <w:pPr>
        <w:pStyle w:val="BodyText"/>
      </w:pPr>
      <w:r>
        <w:rPr>
          <w:bCs/>
          <w:b/>
        </w:rPr>
        <w:t xml:space="preserve">7.2 Audit.</w:t>
      </w:r>
      <w:r>
        <w:t xml:space="preserve"> </w:t>
      </w:r>
      <w:r>
        <w:t xml:space="preserve">If that information is not enough, or a Supervisory Authority requires it, the Customer may audit iDen2’s relevant controls once a year (or after a Security Incident) on 30 days’ written notice, during business hours, under confidentiality, without disrupting iDen2’s operations, and with a scope agreed in advance. The Customer pays its own costs and iDen2’s reasonable costs. An independent auditor must be bound by confidentiality and must not be a competitor of iDen2.</w:t>
      </w:r>
    </w:p>
    <w:bookmarkEnd w:id="30"/>
    <w:bookmarkStart w:id="31" w:name="deletion-and-return"/>
    <w:p>
      <w:pPr>
        <w:pStyle w:val="Heading1"/>
      </w:pPr>
      <w:r>
        <w:t xml:space="preserve">8. DELETION AND RETURN</w:t>
      </w:r>
    </w:p>
    <w:p>
      <w:pPr>
        <w:pStyle w:val="FirstParagraph"/>
      </w:pPr>
      <w:r>
        <w:t xml:space="preserve">When the MSA ends, iDen2 will make Customer Personal Data available for export and then delete it, as MSA Section 16.5 states, unless the law requires iDen2 to keep it. iDen2 will confirm deletion in writing on request.</w:t>
      </w:r>
    </w:p>
    <w:bookmarkEnd w:id="31"/>
    <w:bookmarkStart w:id="32" w:name="international-transfers"/>
    <w:p>
      <w:pPr>
        <w:pStyle w:val="Heading1"/>
      </w:pPr>
      <w:r>
        <w:t xml:space="preserve">9. INTERNATIONAL TRANSFERS</w:t>
      </w:r>
    </w:p>
    <w:p>
      <w:pPr>
        <w:pStyle w:val="FirstParagraph"/>
      </w:pPr>
      <w:r>
        <w:rPr>
          <w:bCs/>
          <w:b/>
        </w:rPr>
        <w:t xml:space="preserve">9.1 Location.</w:t>
      </w:r>
      <w:r>
        <w:t xml:space="preserve"> </w:t>
      </w:r>
      <w:r>
        <w:t xml:space="preserve">Customer Personal Data is hosted in the region stated in the Order Form. iDen2 and its Sub-processors may access it from other countries as needed for support and operations.</w:t>
      </w:r>
    </w:p>
    <w:p>
      <w:pPr>
        <w:pStyle w:val="BodyText"/>
      </w:pPr>
      <w:r>
        <w:rPr>
          <w:bCs/>
          <w:b/>
        </w:rPr>
        <w:t xml:space="preserve">9.2 Transfers from the EEA, UK, or Switzerland.</w:t>
      </w:r>
      <w:r>
        <w:t xml:space="preserve"> </w:t>
      </w:r>
      <w:r>
        <w:t xml:space="preserve">Where Customer Personal Data from the EEA, the UK, or Switzerland is transferred to a country without an adequacy decision, the following apply:</w:t>
      </w:r>
    </w:p>
    <w:p>
      <w:pPr>
        <w:numPr>
          <w:ilvl w:val="0"/>
          <w:numId w:val="1001"/>
        </w:numPr>
      </w:pPr>
      <w:r>
        <w:rPr>
          <w:bCs/>
          <w:b/>
        </w:rPr>
        <w:t xml:space="preserve">EU.</w:t>
      </w:r>
      <w:r>
        <w:t xml:space="preserve"> </w:t>
      </w:r>
      <w:r>
        <w:t xml:space="preserve">The SCCs are incorporated by reference. Module Two (Controller to Processor) applies where the Customer is a Controller, and Module Three (Processor to Processor) where the Customer is a Processor. Clause 7 (docking) applies. Clause 9(a): option 2, general authorization, with notice as in Section 4.2. Clause 11: optional language is not used. Clause 17: option 1, the law of [IRELAND / HUNGARY / ANOTHER EU MEMBER STATE THAT ALLOWS THIRD-PARTY BENEFICIARY RIGHTS]. Clause 18(b): the courts of the same country. Annexes I to III of the SCCs are completed by Annexes 1 to 3 of this DPA, and the Customer is the</w:t>
      </w:r>
      <w:r>
        <w:t xml:space="preserve"> </w:t>
      </w:r>
      <w:r>
        <w:t xml:space="preserve">“</w:t>
      </w:r>
      <w:r>
        <w:t xml:space="preserve">data exporter</w:t>
      </w:r>
      <w:r>
        <w:t xml:space="preserve">”</w:t>
      </w:r>
      <w:r>
        <w:t xml:space="preserve"> </w:t>
      </w:r>
      <w:r>
        <w:t xml:space="preserve">and iDen2 the</w:t>
      </w:r>
      <w:r>
        <w:t xml:space="preserve"> </w:t>
      </w:r>
      <w:r>
        <w:t xml:space="preserve">“</w:t>
      </w:r>
      <w:r>
        <w:t xml:space="preserve">data importer</w:t>
      </w:r>
      <w:r>
        <w:t xml:space="preserve">”</w:t>
      </w:r>
      <w:r>
        <w:t xml:space="preserve">.</w:t>
      </w:r>
    </w:p>
    <w:p>
      <w:pPr>
        <w:numPr>
          <w:ilvl w:val="0"/>
          <w:numId w:val="1001"/>
        </w:numPr>
      </w:pPr>
      <w:r>
        <w:rPr>
          <w:bCs/>
          <w:b/>
        </w:rPr>
        <w:t xml:space="preserve">UK.</w:t>
      </w:r>
      <w:r>
        <w:t xml:space="preserve"> </w:t>
      </w:r>
      <w:r>
        <w:t xml:space="preserve">The UK International Data Transfer Addendum to the SCCs issued by the Information Commissioner (version B1.0) is incorporated, completed with the details in Annexes 1 to 3.</w:t>
      </w:r>
    </w:p>
    <w:p>
      <w:pPr>
        <w:numPr>
          <w:ilvl w:val="0"/>
          <w:numId w:val="1001"/>
        </w:numPr>
      </w:pPr>
      <w:r>
        <w:rPr>
          <w:bCs/>
          <w:b/>
        </w:rPr>
        <w:t xml:space="preserve">Switzerland.</w:t>
      </w:r>
      <w:r>
        <w:t xml:space="preserve"> </w:t>
      </w:r>
      <w:r>
        <w:t xml:space="preserve">The SCCs apply with references to the GDPR read as references to the Swiss FADP, and the Swiss Federal Data Protection and Information Commissioner as the competent authority.</w:t>
      </w:r>
    </w:p>
    <w:p>
      <w:pPr>
        <w:numPr>
          <w:ilvl w:val="0"/>
          <w:numId w:val="1001"/>
        </w:numPr>
      </w:pPr>
      <w:r>
        <w:rPr>
          <w:bCs/>
          <w:b/>
        </w:rPr>
        <w:t xml:space="preserve">Order.</w:t>
      </w:r>
      <w:r>
        <w:t xml:space="preserve"> </w:t>
      </w:r>
      <w:r>
        <w:t xml:space="preserve">If the SCCs conflict with this DPA or the MSA, the SCCs win.</w:t>
      </w:r>
    </w:p>
    <w:p>
      <w:pPr>
        <w:pStyle w:val="FirstParagraph"/>
      </w:pPr>
      <w:r>
        <w:rPr>
          <w:bCs/>
          <w:b/>
        </w:rPr>
        <w:t xml:space="preserve">9.3 Government access.</w:t>
      </w:r>
      <w:r>
        <w:t xml:space="preserve"> </w:t>
      </w:r>
      <w:r>
        <w:t xml:space="preserve">iDen2 will review the legality of any government request for Customer Personal Data, challenge it where there are reasonable grounds, and disclose only the minimum required. Unless the law forbids it, it will tell the Customer first.</w:t>
      </w:r>
    </w:p>
    <w:p>
      <w:pPr>
        <w:pStyle w:val="BodyText"/>
      </w:pPr>
      <w:r>
        <w:rPr>
          <w:bCs/>
          <w:b/>
        </w:rPr>
        <w:t xml:space="preserve">9.4 EU entity.</w:t>
      </w:r>
      <w:r>
        <w:t xml:space="preserve"> </w:t>
      </w:r>
      <w:r>
        <w:t xml:space="preserve">[If iDen2’s EU entity (iDen2 EU) is formed and contracts with the Customer, the parties will substitute that entity as the data importer by written amendment.]</w:t>
      </w:r>
    </w:p>
    <w:bookmarkEnd w:id="32"/>
    <w:bookmarkStart w:id="33" w:name="liability-and-order-of-precedence"/>
    <w:p>
      <w:pPr>
        <w:pStyle w:val="Heading1"/>
      </w:pPr>
      <w:r>
        <w:t xml:space="preserve">10. LIABILITY AND ORDER OF PRECEDENCE</w:t>
      </w:r>
    </w:p>
    <w:p>
      <w:pPr>
        <w:pStyle w:val="FirstParagraph"/>
      </w:pPr>
      <w:r>
        <w:t xml:space="preserve">Liability under this DPA is subject to the limits in MSA Article 15. For Personal Data, this DPA wins if it conflicts with the MSA. Nothing in this section limits a Data Subject’s rights under the SCCs.</w:t>
      </w:r>
    </w:p>
    <w:bookmarkEnd w:id="33"/>
    <w:bookmarkStart w:id="34" w:name="term"/>
    <w:p>
      <w:pPr>
        <w:pStyle w:val="Heading1"/>
      </w:pPr>
      <w:r>
        <w:t xml:space="preserve">11. TERM</w:t>
      </w:r>
    </w:p>
    <w:p>
      <w:pPr>
        <w:pStyle w:val="FirstParagraph"/>
      </w:pPr>
      <w:r>
        <w:t xml:space="preserve">This DPA starts on the Effective Date and lasts while iDen2 Processes Customer Personal Data.</w:t>
      </w:r>
    </w:p>
    <w:bookmarkEnd w:id="34"/>
    <w:bookmarkStart w:id="35"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p>
      <w:r>
        <w:br w:type="page"/>
      </w:r>
    </w:p>
    <w:bookmarkEnd w:id="35"/>
    <w:bookmarkStart w:id="36" w:name="annex-1-details-of-processing"/>
    <w:p>
      <w:pPr>
        <w:pStyle w:val="Heading1"/>
      </w:pPr>
      <w:r>
        <w:t xml:space="preserve">ANNEX 1: DETAILS OF PROCESSING</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Data exporter</w:t>
            </w:r>
          </w:p>
        </w:tc>
        <w:tc>
          <w:tcPr>
            <w:tcW w:type="dxa" w:w="6624"/>
          </w:tcPr>
          <w:p>
            <w:pPr>
              <w:pStyle w:val="Compact"/>
              <w:spacing w:after="20" w:before="20"/>
              <w:jc w:val="left"/>
            </w:pPr>
            <w:r>
              <w:rPr>
                <w:rFonts w:ascii="Calibri" w:hAnsi="Calibri"/>
                <w:sz w:val="19"/>
              </w:rPr>
              <w:t xml:space="preserve">[CUSTOMER NAME, ADDRESS, CONTACT, ROLE: Controller / Processor]</w:t>
            </w:r>
          </w:p>
        </w:tc>
      </w:tr>
      <w:tr>
        <w:tc>
          <w:tcPr>
            <w:tcW w:type="dxa" w:w="2736"/>
            <w:shd w:val="clear" w:color="auto" w:fill="F4F5F7"/>
          </w:tcPr>
          <w:p>
            <w:pPr>
              <w:pStyle w:val="Compact"/>
              <w:spacing w:after="20" w:before="20"/>
              <w:jc w:val="left"/>
            </w:pPr>
            <w:r>
              <w:rPr>
                <w:bCs/>
                <w:rFonts w:ascii="Calibri" w:hAnsi="Calibri"/>
                <w:b/>
                <w:sz w:val="19"/>
              </w:rPr>
              <w:t xml:space="preserve">Data importer</w:t>
            </w:r>
          </w:p>
        </w:tc>
        <w:tc>
          <w:tcPr>
            <w:tcW w:type="dxa" w:w="6624"/>
          </w:tcPr>
          <w:p>
            <w:pPr>
              <w:pStyle w:val="Compact"/>
              <w:spacing w:after="20" w:before="20"/>
              <w:jc w:val="left"/>
            </w:pPr>
            <w:r>
              <w:rPr>
                <w:rFonts w:ascii="Calibri" w:hAnsi="Calibri"/>
                <w:sz w:val="19"/>
              </w:rPr>
              <w:t xml:space="preserve">iDen2 Inc., 30 N Gould St, Ste R, Sheridan, WY 82801, USA. Contact: legal@iden2.com. Role: Processor</w:t>
            </w:r>
          </w:p>
        </w:tc>
      </w:tr>
      <w:tr>
        <w:tc>
          <w:tcPr>
            <w:tcW w:type="dxa" w:w="2736"/>
            <w:shd w:val="clear" w:color="auto" w:fill="F4F5F7"/>
          </w:tcPr>
          <w:p>
            <w:pPr>
              <w:pStyle w:val="Compact"/>
              <w:spacing w:after="20" w:before="20"/>
              <w:jc w:val="left"/>
            </w:pPr>
            <w:r>
              <w:rPr>
                <w:bCs/>
                <w:rFonts w:ascii="Calibri" w:hAnsi="Calibri"/>
                <w:b/>
                <w:sz w:val="19"/>
              </w:rPr>
              <w:t xml:space="preserve">Subject matter</w:t>
            </w:r>
          </w:p>
        </w:tc>
        <w:tc>
          <w:tcPr>
            <w:tcW w:type="dxa" w:w="6624"/>
          </w:tcPr>
          <w:p>
            <w:pPr>
              <w:pStyle w:val="Compact"/>
              <w:spacing w:after="20" w:before="20"/>
              <w:jc w:val="left"/>
            </w:pPr>
            <w:r>
              <w:rPr>
                <w:rFonts w:ascii="Calibri" w:hAnsi="Calibri"/>
                <w:sz w:val="19"/>
              </w:rPr>
              <w:t xml:space="preserve">Providing the iDen2 Platform and related services to the Customer</w:t>
            </w:r>
          </w:p>
        </w:tc>
      </w:tr>
      <w:tr>
        <w:tc>
          <w:tcPr>
            <w:tcW w:type="dxa" w:w="2736"/>
            <w:shd w:val="clear" w:color="auto" w:fill="F4F5F7"/>
          </w:tcPr>
          <w:p>
            <w:pPr>
              <w:pStyle w:val="Compact"/>
              <w:spacing w:after="20" w:before="20"/>
              <w:jc w:val="left"/>
            </w:pPr>
            <w:r>
              <w:rPr>
                <w:bCs/>
                <w:rFonts w:ascii="Calibri" w:hAnsi="Calibri"/>
                <w:b/>
                <w:sz w:val="19"/>
              </w:rPr>
              <w:t xml:space="preserve">Nature of Processing</w:t>
            </w:r>
          </w:p>
        </w:tc>
        <w:tc>
          <w:tcPr>
            <w:tcW w:type="dxa" w:w="6624"/>
          </w:tcPr>
          <w:p>
            <w:pPr>
              <w:pStyle w:val="Compact"/>
              <w:spacing w:after="20" w:before="20"/>
              <w:jc w:val="left"/>
            </w:pPr>
            <w:r>
              <w:rPr>
                <w:rFonts w:ascii="Calibri" w:hAnsi="Calibri"/>
                <w:sz w:val="19"/>
              </w:rPr>
              <w:t xml:space="preserve">Hosting, storage, issuance, verification, revocation, and management of digital Credentials and related records; support; backup</w:t>
            </w:r>
          </w:p>
        </w:tc>
      </w:tr>
      <w:tr>
        <w:tc>
          <w:tcPr>
            <w:tcW w:type="dxa" w:w="2736"/>
            <w:shd w:val="clear" w:color="auto" w:fill="F4F5F7"/>
          </w:tcPr>
          <w:p>
            <w:pPr>
              <w:pStyle w:val="Compact"/>
              <w:spacing w:after="20" w:before="20"/>
              <w:jc w:val="left"/>
            </w:pPr>
            <w:r>
              <w:rPr>
                <w:bCs/>
                <w:rFonts w:ascii="Calibri" w:hAnsi="Calibri"/>
                <w:b/>
                <w:sz w:val="19"/>
              </w:rPr>
              <w:t xml:space="preserve">Purpose</w:t>
            </w:r>
          </w:p>
        </w:tc>
        <w:tc>
          <w:tcPr>
            <w:tcW w:type="dxa" w:w="6624"/>
          </w:tcPr>
          <w:p>
            <w:pPr>
              <w:pStyle w:val="Compact"/>
              <w:spacing w:after="20" w:before="20"/>
              <w:jc w:val="left"/>
            </w:pPr>
            <w:r>
              <w:rPr>
                <w:rFonts w:ascii="Calibri" w:hAnsi="Calibri"/>
                <w:sz w:val="19"/>
              </w:rPr>
              <w:t xml:space="preserve">To provide the services in the MSA and Order Form, and to follow the Customer’s instructions</w:t>
            </w:r>
          </w:p>
        </w:tc>
      </w:tr>
      <w:tr>
        <w:tc>
          <w:tcPr>
            <w:tcW w:type="dxa" w:w="2736"/>
            <w:shd w:val="clear" w:color="auto" w:fill="F4F5F7"/>
          </w:tcPr>
          <w:p>
            <w:pPr>
              <w:pStyle w:val="Compact"/>
              <w:spacing w:after="20" w:before="20"/>
              <w:jc w:val="left"/>
            </w:pPr>
            <w:r>
              <w:rPr>
                <w:bCs/>
                <w:rFonts w:ascii="Calibri" w:hAnsi="Calibri"/>
                <w:b/>
                <w:sz w:val="19"/>
              </w:rPr>
              <w:t xml:space="preserve">Duration</w:t>
            </w:r>
          </w:p>
        </w:tc>
        <w:tc>
          <w:tcPr>
            <w:tcW w:type="dxa" w:w="6624"/>
          </w:tcPr>
          <w:p>
            <w:pPr>
              <w:pStyle w:val="Compact"/>
              <w:spacing w:after="20" w:before="20"/>
              <w:jc w:val="left"/>
            </w:pPr>
            <w:r>
              <w:rPr>
                <w:rFonts w:ascii="Calibri" w:hAnsi="Calibri"/>
                <w:sz w:val="19"/>
              </w:rPr>
              <w:t xml:space="preserve">The term of the MSA, plus the export and deletion period in MSA Section 16.5</w:t>
            </w:r>
          </w:p>
        </w:tc>
      </w:tr>
      <w:tr>
        <w:tc>
          <w:tcPr>
            <w:tcW w:type="dxa" w:w="2736"/>
            <w:shd w:val="clear" w:color="auto" w:fill="F4F5F7"/>
          </w:tcPr>
          <w:p>
            <w:pPr>
              <w:pStyle w:val="Compact"/>
              <w:spacing w:after="20" w:before="20"/>
              <w:jc w:val="left"/>
            </w:pPr>
            <w:r>
              <w:rPr>
                <w:bCs/>
                <w:rFonts w:ascii="Calibri" w:hAnsi="Calibri"/>
                <w:b/>
                <w:sz w:val="19"/>
              </w:rPr>
              <w:t xml:space="preserve">Categories of Data Subjects</w:t>
            </w:r>
          </w:p>
        </w:tc>
        <w:tc>
          <w:tcPr>
            <w:tcW w:type="dxa" w:w="6624"/>
          </w:tcPr>
          <w:p>
            <w:pPr>
              <w:pStyle w:val="Compact"/>
              <w:spacing w:after="20" w:before="20"/>
              <w:jc w:val="left"/>
            </w:pPr>
            <w:r>
              <w:rPr>
                <w:rFonts w:ascii="Calibri" w:hAnsi="Calibri"/>
                <w:sz w:val="19"/>
              </w:rPr>
              <w:t xml:space="preserve">[e.g., Customer’s employees; Customer’s customers; citizens; Holders; AI Agent operators]</w:t>
            </w:r>
          </w:p>
        </w:tc>
      </w:tr>
      <w:tr>
        <w:tc>
          <w:tcPr>
            <w:tcW w:type="dxa" w:w="2736"/>
            <w:shd w:val="clear" w:color="auto" w:fill="F4F5F7"/>
          </w:tcPr>
          <w:p>
            <w:pPr>
              <w:pStyle w:val="Compact"/>
              <w:spacing w:after="20" w:before="20"/>
              <w:jc w:val="left"/>
            </w:pPr>
            <w:r>
              <w:rPr>
                <w:bCs/>
                <w:rFonts w:ascii="Calibri" w:hAnsi="Calibri"/>
                <w:b/>
                <w:sz w:val="19"/>
              </w:rPr>
              <w:t xml:space="preserve">Categories of Personal Data</w:t>
            </w:r>
          </w:p>
        </w:tc>
        <w:tc>
          <w:tcPr>
            <w:tcW w:type="dxa" w:w="6624"/>
          </w:tcPr>
          <w:p>
            <w:pPr>
              <w:pStyle w:val="Compact"/>
              <w:spacing w:after="20" w:before="20"/>
              <w:jc w:val="left"/>
            </w:pPr>
            <w:r>
              <w:rPr>
                <w:rFonts w:ascii="Calibri" w:hAnsi="Calibri"/>
                <w:sz w:val="19"/>
              </w:rPr>
              <w:t xml:space="preserve">[e.g., name, date of birth, contact details, identity document attributes, Credential claims, device identifiers, log data]</w:t>
            </w:r>
          </w:p>
        </w:tc>
      </w:tr>
      <w:tr>
        <w:tc>
          <w:tcPr>
            <w:tcW w:type="dxa" w:w="2736"/>
            <w:shd w:val="clear" w:color="auto" w:fill="F4F5F7"/>
          </w:tcPr>
          <w:p>
            <w:pPr>
              <w:pStyle w:val="Compact"/>
              <w:spacing w:after="20" w:before="20"/>
              <w:jc w:val="left"/>
            </w:pPr>
            <w:r>
              <w:rPr>
                <w:bCs/>
                <w:rFonts w:ascii="Calibri" w:hAnsi="Calibri"/>
                <w:b/>
                <w:sz w:val="19"/>
              </w:rPr>
              <w:t xml:space="preserve">Sensitive data</w:t>
            </w:r>
          </w:p>
        </w:tc>
        <w:tc>
          <w:tcPr>
            <w:tcW w:type="dxa" w:w="6624"/>
          </w:tcPr>
          <w:p>
            <w:pPr>
              <w:pStyle w:val="Compact"/>
              <w:spacing w:after="20" w:before="20"/>
              <w:jc w:val="left"/>
            </w:pPr>
            <w:r>
              <w:rPr>
                <w:rFonts w:ascii="Calibri" w:hAnsi="Calibri"/>
                <w:sz w:val="19"/>
              </w:rPr>
              <w:t xml:space="preserve">[None expected] [OR: biometric data / government ID numbers / other: specify, and the extra safeguards]</w:t>
            </w:r>
          </w:p>
        </w:tc>
      </w:tr>
      <w:tr>
        <w:tc>
          <w:tcPr>
            <w:tcW w:type="dxa" w:w="2736"/>
            <w:shd w:val="clear" w:color="auto" w:fill="F4F5F7"/>
          </w:tcPr>
          <w:p>
            <w:pPr>
              <w:pStyle w:val="Compact"/>
              <w:spacing w:after="20" w:before="20"/>
              <w:jc w:val="left"/>
            </w:pPr>
            <w:r>
              <w:rPr>
                <w:bCs/>
                <w:rFonts w:ascii="Calibri" w:hAnsi="Calibri"/>
                <w:b/>
                <w:sz w:val="19"/>
              </w:rPr>
              <w:t xml:space="preserve">Frequency of transfer</w:t>
            </w:r>
          </w:p>
        </w:tc>
        <w:tc>
          <w:tcPr>
            <w:tcW w:type="dxa" w:w="6624"/>
          </w:tcPr>
          <w:p>
            <w:pPr>
              <w:pStyle w:val="Compact"/>
              <w:spacing w:after="20" w:before="20"/>
              <w:jc w:val="left"/>
            </w:pPr>
            <w:r>
              <w:rPr>
                <w:rFonts w:ascii="Calibri" w:hAnsi="Calibri"/>
                <w:sz w:val="19"/>
              </w:rPr>
              <w:t xml:space="preserve">Continuous, for the term</w:t>
            </w:r>
          </w:p>
        </w:tc>
      </w:tr>
      <w:tr>
        <w:tc>
          <w:tcPr>
            <w:tcW w:type="dxa" w:w="2736"/>
            <w:shd w:val="clear" w:color="auto" w:fill="F4F5F7"/>
          </w:tcPr>
          <w:p>
            <w:pPr>
              <w:pStyle w:val="Compact"/>
              <w:spacing w:after="20" w:before="20"/>
              <w:jc w:val="left"/>
            </w:pPr>
            <w:r>
              <w:rPr>
                <w:bCs/>
                <w:rFonts w:ascii="Calibri" w:hAnsi="Calibri"/>
                <w:b/>
                <w:sz w:val="19"/>
              </w:rPr>
              <w:t xml:space="preserve">Retention</w:t>
            </w:r>
          </w:p>
        </w:tc>
        <w:tc>
          <w:tcPr>
            <w:tcW w:type="dxa" w:w="6624"/>
          </w:tcPr>
          <w:p>
            <w:pPr>
              <w:pStyle w:val="Compact"/>
              <w:spacing w:after="20" w:before="20"/>
              <w:jc w:val="left"/>
            </w:pPr>
            <w:r>
              <w:rPr>
                <w:rFonts w:ascii="Calibri" w:hAnsi="Calibri"/>
                <w:sz w:val="19"/>
              </w:rPr>
              <w:t xml:space="preserve">Until deleted by the Customer or at the end of the term, then as Section 8 states</w:t>
            </w:r>
          </w:p>
        </w:tc>
      </w:tr>
      <w:tr>
        <w:tc>
          <w:tcPr>
            <w:tcW w:type="dxa" w:w="2736"/>
            <w:shd w:val="clear" w:color="auto" w:fill="F4F5F7"/>
          </w:tcPr>
          <w:p>
            <w:pPr>
              <w:pStyle w:val="Compact"/>
              <w:spacing w:after="20" w:before="20"/>
              <w:jc w:val="left"/>
            </w:pPr>
            <w:r>
              <w:rPr>
                <w:bCs/>
                <w:rFonts w:ascii="Calibri" w:hAnsi="Calibri"/>
                <w:b/>
                <w:sz w:val="19"/>
              </w:rPr>
              <w:t xml:space="preserve">Competent Supervisory Authority</w:t>
            </w:r>
          </w:p>
        </w:tc>
        <w:tc>
          <w:tcPr>
            <w:tcW w:type="dxa" w:w="6624"/>
          </w:tcPr>
          <w:p>
            <w:pPr>
              <w:pStyle w:val="Compact"/>
              <w:spacing w:after="20" w:before="20"/>
              <w:jc w:val="left"/>
            </w:pPr>
            <w:r>
              <w:rPr>
                <w:rFonts w:ascii="Calibri" w:hAnsi="Calibri"/>
                <w:sz w:val="19"/>
              </w:rPr>
              <w:t xml:space="preserve">[AUTHORITY, based on the Customer’s establishment]</w:t>
            </w:r>
          </w:p>
        </w:tc>
      </w:tr>
    </w:tbl>
    <w:bookmarkEnd w:id="36"/>
    <w:bookmarkStart w:id="37" w:name="X528f8cb7783b65cfd1819cdf15a9514e4a4d995"/>
    <w:p>
      <w:pPr>
        <w:pStyle w:val="Heading1"/>
      </w:pPr>
      <w:r>
        <w:t xml:space="preserve">ANNEX 2: TECHNICAL AND ORGANIZATIONAL MEASURES</w:t>
      </w:r>
    </w:p>
    <w:p>
      <w:pPr>
        <w:pStyle w:val="FirstParagraph"/>
      </w:pPr>
      <w:r>
        <w:t xml:space="preserve">The measures are described in the Security Addendum (Template 10), which is incorporated here. In summary, they cover: access control and least privilege; encryption in transit and at rest; key management; network and application security; logging and monitoring; vulnerability management; secure development; backup and recovery; personnel screening and training; vendor management; and incident response. [Each statement must match the real controls. See Template Guide.]</w:t>
      </w:r>
    </w:p>
    <w:bookmarkEnd w:id="37"/>
    <w:bookmarkStart w:id="38" w:name="annex-3-authorized-sub-processors"/>
    <w:p>
      <w:pPr>
        <w:pStyle w:val="Heading1"/>
      </w:pPr>
      <w:r>
        <w:t xml:space="preserve">ANNEX 3: AUTHORIZED SUB-PROCESSORS</w:t>
      </w:r>
    </w:p>
    <w:p>
      <w:pPr>
        <w:pStyle w:val="BlockText"/>
      </w:pPr>
      <w:r>
        <w:rPr>
          <w:bCs/>
          <w:b/>
        </w:rPr>
        <w:t xml:space="preserve">Drafting note:</w:t>
      </w:r>
      <w:r>
        <w:t xml:space="preserve"> </w:t>
      </w:r>
      <w:r>
        <w:t xml:space="preserve">Fill in from iDen2’s real vendor register. Do not guess. Typical entries include a cloud hosting provider, an email/notification provider, a support tool, and any identity proofing or hardware security module vendors used by the customer’s deployment.</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980"/>
        <w:gridCol w:w="1980"/>
        <w:gridCol w:w="1980"/>
        <w:gridCol w:w="1980"/>
      </w:tblGrid>
      <w:tr>
        <w:trPr>
          <w:tblHeader w:val="true"/>
        </w:trPr>
        <w:tc>
          <w:tcPr>
            <w:shd w:val="clear" w:color="auto" w:fill="EFE3FB"/>
          </w:tcPr>
          <w:p>
            <w:pPr>
              <w:pStyle w:val="Compact"/>
              <w:spacing w:after="20" w:before="20"/>
              <w:jc w:val="left"/>
            </w:pPr>
            <w:r>
              <w:rPr>
                <w:rFonts w:ascii="Calibri" w:hAnsi="Calibri"/>
                <w:b/>
                <w:sz w:val="19"/>
              </w:rPr>
              <w:t xml:space="preserve">Sub-processor</w:t>
            </w:r>
          </w:p>
        </w:tc>
        <w:tc>
          <w:tcPr>
            <w:shd w:val="clear" w:color="auto" w:fill="EFE3FB"/>
          </w:tcPr>
          <w:p>
            <w:pPr>
              <w:pStyle w:val="Compact"/>
              <w:spacing w:after="20" w:before="20"/>
              <w:jc w:val="left"/>
            </w:pPr>
            <w:r>
              <w:rPr>
                <w:rFonts w:ascii="Calibri" w:hAnsi="Calibri"/>
                <w:b/>
                <w:sz w:val="19"/>
              </w:rPr>
              <w:t xml:space="preserve">Service</w:t>
            </w:r>
          </w:p>
        </w:tc>
        <w:tc>
          <w:tcPr>
            <w:shd w:val="clear" w:color="auto" w:fill="EFE3FB"/>
          </w:tcPr>
          <w:p>
            <w:pPr>
              <w:pStyle w:val="Compact"/>
              <w:spacing w:after="20" w:before="20"/>
              <w:jc w:val="left"/>
            </w:pPr>
            <w:r>
              <w:rPr>
                <w:rFonts w:ascii="Calibri" w:hAnsi="Calibri"/>
                <w:b/>
                <w:sz w:val="19"/>
              </w:rPr>
              <w:t xml:space="preserve">Location of processing</w:t>
            </w:r>
          </w:p>
        </w:tc>
        <w:tc>
          <w:tcPr>
            <w:shd w:val="clear" w:color="auto" w:fill="EFE3FB"/>
          </w:tcPr>
          <w:p>
            <w:pPr>
              <w:pStyle w:val="Compact"/>
              <w:spacing w:after="20" w:before="20"/>
              <w:jc w:val="left"/>
            </w:pPr>
            <w:r>
              <w:rPr>
                <w:rFonts w:ascii="Calibri" w:hAnsi="Calibri"/>
                <w:b/>
                <w:sz w:val="19"/>
              </w:rPr>
              <w:t xml:space="preserve">Safeguard for transfers</w:t>
            </w:r>
          </w:p>
        </w:tc>
      </w:tr>
      <w:tr>
        <w:tc>
          <w:tcPr/>
          <w:p>
            <w:pPr>
              <w:pStyle w:val="Compact"/>
              <w:spacing w:after="20" w:before="20"/>
              <w:jc w:val="left"/>
            </w:pPr>
            <w:r>
              <w:rPr>
                <w:rFonts w:ascii="Calibri" w:hAnsi="Calibri"/>
                <w:sz w:val="19"/>
              </w:rPr>
              <w:t xml:space="preserve">[NAME]</w:t>
            </w:r>
          </w:p>
        </w:tc>
        <w:tc>
          <w:tcPr/>
          <w:p>
            <w:pPr>
              <w:pStyle w:val="Compact"/>
              <w:spacing w:after="20" w:before="20"/>
              <w:jc w:val="left"/>
            </w:pPr>
            <w:r>
              <w:rPr>
                <w:rFonts w:ascii="Calibri" w:hAnsi="Calibri"/>
                <w:sz w:val="19"/>
              </w:rPr>
              <w:t xml:space="preserve">[e.g., cloud hosting]</w:t>
            </w:r>
          </w:p>
        </w:tc>
        <w:tc>
          <w:tcPr/>
          <w:p>
            <w:pPr>
              <w:pStyle w:val="Compact"/>
              <w:spacing w:after="20" w:before="20"/>
              <w:jc w:val="left"/>
            </w:pPr>
            <w:r>
              <w:rPr>
                <w:rFonts w:ascii="Calibri" w:hAnsi="Calibri"/>
                <w:sz w:val="19"/>
              </w:rPr>
              <w:t xml:space="preserve">[COUNTRY / REGION]</w:t>
            </w:r>
          </w:p>
        </w:tc>
        <w:tc>
          <w:tcPr/>
          <w:p>
            <w:pPr>
              <w:pStyle w:val="Compact"/>
              <w:spacing w:after="20" w:before="20"/>
              <w:jc w:val="left"/>
            </w:pPr>
            <w:r>
              <w:rPr>
                <w:rFonts w:ascii="Calibri" w:hAnsi="Calibri"/>
                <w:sz w:val="19"/>
              </w:rPr>
              <w:t xml:space="preserve">[e.g., SCCs / adequacy]</w:t>
            </w:r>
          </w:p>
        </w:tc>
      </w:tr>
      <w:tr>
        <w:tc>
          <w:tcPr/>
          <w:p>
            <w:pPr>
              <w:pStyle w:val="Compact"/>
              <w:spacing w:after="20" w:before="20"/>
              <w:jc w:val="left"/>
            </w:pPr>
            <w:r>
              <w:rPr>
                <w:rFonts w:ascii="Calibri" w:hAnsi="Calibri"/>
                <w:sz w:val="19"/>
              </w:rPr>
              <w:t xml:space="preserve">[NAME]</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r>
    </w:tbl>
    <w:bookmarkEnd w:id="38"/>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Data Processing Addendum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