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proof-of-value-agreement"/>
    <w:p>
      <w:pPr>
        <w:pStyle w:val="Heading1"/>
      </w:pPr>
      <w:r>
        <w:t xml:space="preserve">PROOF OF VALUE AGREEMENT</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Agreement Reference</w:t>
            </w:r>
          </w:p>
        </w:tc>
        <w:tc>
          <w:tcPr>
            <w:tcW w:type="dxa" w:w="6624"/>
          </w:tcPr>
          <w:p>
            <w:pPr>
              <w:pStyle w:val="Compact"/>
              <w:spacing w:after="20" w:before="20"/>
              <w:jc w:val="left"/>
            </w:pPr>
            <w:r>
              <w:rPr>
                <w:rFonts w:ascii="Calibri" w:hAnsi="Calibri"/>
                <w:sz w:val="19"/>
              </w:rPr>
              <w:t xml:space="preserve">iDen2-[CUSTOMER CODE]-PoV-[YYYY]-[###]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PoV Period</w:t>
            </w:r>
          </w:p>
        </w:tc>
        <w:tc>
          <w:tcPr>
            <w:tcW w:type="dxa" w:w="6624"/>
          </w:tcPr>
          <w:p>
            <w:pPr>
              <w:pStyle w:val="Compact"/>
              <w:spacing w:after="20" w:before="20"/>
              <w:jc w:val="left"/>
            </w:pPr>
            <w:r>
              <w:rPr>
                <w:rFonts w:ascii="Calibri" w:hAnsi="Calibri"/>
                <w:sz w:val="19"/>
              </w:rPr>
              <w:t xml:space="preserve">[30 / 60 / 90] days from the Start Date in the PoV Plan</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Use this when the customer wants to test the Platform before buying. It is a complete, stand-alone contract, so no MSA is needed first. It must always have three things: (1) a written success test, (2) an end date, and (3) a clear path to a paid order. A PoV with no success test or end date is free consulting. Charge a fee if you can, and credit it against the first Order Form (Section 5 below). See Template Guide, section 6.</w:t>
      </w:r>
    </w:p>
    <w:bookmarkEnd w:id="23"/>
    <w:bookmarkStart w:id="24" w:name="purpose"/>
    <w:p>
      <w:pPr>
        <w:pStyle w:val="Heading1"/>
      </w:pPr>
      <w:r>
        <w:t xml:space="preserve">1. PURPOSE</w:t>
      </w:r>
    </w:p>
    <w:p>
      <w:pPr>
        <w:pStyle w:val="FirstParagraph"/>
      </w:pPr>
      <w:r>
        <w:t xml:space="preserve">The Customer wants to test whether the iDen2 Platform meets the goals set out in the PoV Plan (Exhibit A). iDen2 will provide limited access and support for that test. This Agreement is for evaluation only. It is not for live, production use.</w:t>
      </w:r>
    </w:p>
    <w:bookmarkEnd w:id="24"/>
    <w:bookmarkStart w:id="25" w:name="definitions"/>
    <w:p>
      <w:pPr>
        <w:pStyle w:val="Heading1"/>
      </w:pPr>
      <w:r>
        <w:t xml:space="preserve">2. DEFINITIONS</w:t>
      </w:r>
    </w:p>
    <w:p>
      <w:pPr>
        <w:pStyle w:val="FirstParagraph"/>
      </w:pPr>
      <w:r>
        <w:t xml:space="preserve">Capitalized terms not defined here have these meanings: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Term</w:t>
            </w:r>
          </w:p>
        </w:tc>
        <w:tc>
          <w:tcPr>
            <w:tcW w:type="dxa" w:w="6624"/>
            <w:shd w:val="clear" w:color="auto" w:fill="EFE3FB"/>
          </w:tcPr>
          <w:p>
            <w:pPr>
              <w:pStyle w:val="Compact"/>
              <w:spacing w:after="20" w:before="20"/>
              <w:jc w:val="left"/>
            </w:pPr>
            <w:r>
              <w:rPr>
                <w:rFonts w:ascii="Calibri" w:hAnsi="Calibri"/>
                <w:b/>
                <w:sz w:val="19"/>
              </w:rPr>
              <w:t xml:space="preserve">Meaning</w:t>
            </w:r>
          </w:p>
        </w:tc>
      </w:tr>
      <w:tr>
        <w:tc>
          <w:tcPr>
            <w:tcW w:type="dxa" w:w="2736"/>
          </w:tcPr>
          <w:p>
            <w:pPr>
              <w:pStyle w:val="Compact"/>
              <w:spacing w:after="20" w:before="20"/>
              <w:jc w:val="left"/>
            </w:pPr>
            <w:r>
              <w:rPr>
                <w:bCs/>
                <w:rFonts w:ascii="Calibri" w:hAnsi="Calibri"/>
                <w:b/>
                <w:sz w:val="19"/>
              </w:rPr>
              <w:t xml:space="preserve">PoV Plan</w:t>
            </w:r>
          </w:p>
        </w:tc>
        <w:tc>
          <w:tcPr>
            <w:tcW w:type="dxa" w:w="6624"/>
          </w:tcPr>
          <w:p>
            <w:pPr>
              <w:pStyle w:val="Compact"/>
              <w:spacing w:after="20" w:before="20"/>
              <w:jc w:val="left"/>
            </w:pPr>
            <w:r>
              <w:rPr>
                <w:rFonts w:ascii="Calibri" w:hAnsi="Calibri"/>
                <w:sz w:val="19"/>
              </w:rPr>
              <w:t xml:space="preserve">The plan in Exhibit A: scope, modules, success criteria, schedule, and responsibilities.</w:t>
            </w:r>
          </w:p>
        </w:tc>
      </w:tr>
      <w:tr>
        <w:tc>
          <w:tcPr>
            <w:tcW w:type="dxa" w:w="2736"/>
          </w:tcPr>
          <w:p>
            <w:pPr>
              <w:pStyle w:val="Compact"/>
              <w:spacing w:after="20" w:before="20"/>
              <w:jc w:val="left"/>
            </w:pPr>
            <w:r>
              <w:rPr>
                <w:bCs/>
                <w:rFonts w:ascii="Calibri" w:hAnsi="Calibri"/>
                <w:b/>
                <w:sz w:val="19"/>
              </w:rPr>
              <w:t xml:space="preserve">PoV Period</w:t>
            </w:r>
          </w:p>
        </w:tc>
        <w:tc>
          <w:tcPr>
            <w:tcW w:type="dxa" w:w="6624"/>
          </w:tcPr>
          <w:p>
            <w:pPr>
              <w:pStyle w:val="Compact"/>
              <w:spacing w:after="20" w:before="20"/>
              <w:jc w:val="left"/>
            </w:pPr>
            <w:r>
              <w:rPr>
                <w:rFonts w:ascii="Calibri" w:hAnsi="Calibri"/>
                <w:sz w:val="19"/>
              </w:rPr>
              <w:t xml:space="preserve">The period stated above.</w:t>
            </w:r>
          </w:p>
        </w:tc>
      </w:tr>
      <w:tr>
        <w:tc>
          <w:tcPr>
            <w:tcW w:type="dxa" w:w="2736"/>
          </w:tcPr>
          <w:p>
            <w:pPr>
              <w:pStyle w:val="Compact"/>
              <w:spacing w:after="20" w:before="20"/>
              <w:jc w:val="left"/>
            </w:pPr>
            <w:r>
              <w:rPr>
                <w:bCs/>
                <w:rFonts w:ascii="Calibri" w:hAnsi="Calibri"/>
                <w:b/>
                <w:sz w:val="19"/>
              </w:rPr>
              <w:t xml:space="preserve">Platform</w:t>
            </w:r>
          </w:p>
        </w:tc>
        <w:tc>
          <w:tcPr>
            <w:tcW w:type="dxa" w:w="6624"/>
          </w:tcPr>
          <w:p>
            <w:pPr>
              <w:pStyle w:val="Compact"/>
              <w:spacing w:after="20" w:before="20"/>
              <w:jc w:val="left"/>
            </w:pPr>
            <w:r>
              <w:rPr>
                <w:rFonts w:ascii="Calibri" w:hAnsi="Calibri"/>
                <w:sz w:val="19"/>
              </w:rPr>
              <w:t xml:space="preserve">The iDen2 Phenix platform modules named in the PoV Plan, in an iDen2-hosted test environment.</w:t>
            </w:r>
          </w:p>
        </w:tc>
      </w:tr>
      <w:tr>
        <w:tc>
          <w:tcPr>
            <w:tcW w:type="dxa" w:w="2736"/>
          </w:tcPr>
          <w:p>
            <w:pPr>
              <w:pStyle w:val="Compact"/>
              <w:spacing w:after="20" w:before="20"/>
              <w:jc w:val="left"/>
            </w:pPr>
            <w:r>
              <w:rPr>
                <w:bCs/>
                <w:rFonts w:ascii="Calibri" w:hAnsi="Calibri"/>
                <w:b/>
                <w:sz w:val="19"/>
              </w:rPr>
              <w:t xml:space="preserve">Success Criteria</w:t>
            </w:r>
          </w:p>
        </w:tc>
        <w:tc>
          <w:tcPr>
            <w:tcW w:type="dxa" w:w="6624"/>
          </w:tcPr>
          <w:p>
            <w:pPr>
              <w:pStyle w:val="Compact"/>
              <w:spacing w:after="20" w:before="20"/>
              <w:jc w:val="left"/>
            </w:pPr>
            <w:r>
              <w:rPr>
                <w:rFonts w:ascii="Calibri" w:hAnsi="Calibri"/>
                <w:sz w:val="19"/>
              </w:rPr>
              <w:t xml:space="preserve">The tests in the PoV Plan that decide whether the PoV has met its goals.</w:t>
            </w:r>
          </w:p>
        </w:tc>
      </w:tr>
      <w:tr>
        <w:tc>
          <w:tcPr>
            <w:tcW w:type="dxa" w:w="2736"/>
          </w:tcPr>
          <w:p>
            <w:pPr>
              <w:pStyle w:val="Compact"/>
              <w:spacing w:after="20" w:before="20"/>
              <w:jc w:val="left"/>
            </w:pPr>
            <w:r>
              <w:rPr>
                <w:bCs/>
                <w:rFonts w:ascii="Calibri" w:hAnsi="Calibri"/>
                <w:b/>
                <w:sz w:val="19"/>
              </w:rPr>
              <w:t xml:space="preserve">Test Data</w:t>
            </w:r>
          </w:p>
        </w:tc>
        <w:tc>
          <w:tcPr>
            <w:tcW w:type="dxa" w:w="6624"/>
          </w:tcPr>
          <w:p>
            <w:pPr>
              <w:pStyle w:val="Compact"/>
              <w:spacing w:after="20" w:before="20"/>
              <w:jc w:val="left"/>
            </w:pPr>
            <w:r>
              <w:rPr>
                <w:rFonts w:ascii="Calibri" w:hAnsi="Calibri"/>
                <w:sz w:val="19"/>
              </w:rPr>
              <w:t xml:space="preserve">Data used in the PoV. By default it is synthetic or dummy data.</w:t>
            </w:r>
          </w:p>
        </w:tc>
      </w:tr>
      <w:tr>
        <w:tc>
          <w:tcPr>
            <w:tcW w:type="dxa" w:w="2736"/>
          </w:tcPr>
          <w:p>
            <w:pPr>
              <w:pStyle w:val="Compact"/>
              <w:spacing w:after="20" w:before="20"/>
              <w:jc w:val="left"/>
            </w:pPr>
            <w:r>
              <w:rPr>
                <w:bCs/>
                <w:rFonts w:ascii="Calibri" w:hAnsi="Calibri"/>
                <w:b/>
                <w:sz w:val="19"/>
              </w:rPr>
              <w:t xml:space="preserve">Conversion Offer</w:t>
            </w:r>
          </w:p>
        </w:tc>
        <w:tc>
          <w:tcPr>
            <w:tcW w:type="dxa" w:w="6624"/>
          </w:tcPr>
          <w:p>
            <w:pPr>
              <w:pStyle w:val="Compact"/>
              <w:spacing w:after="20" w:before="20"/>
              <w:jc w:val="left"/>
            </w:pPr>
            <w:r>
              <w:rPr>
                <w:rFonts w:ascii="Calibri" w:hAnsi="Calibri"/>
                <w:sz w:val="19"/>
              </w:rPr>
              <w:t xml:space="preserve">The pre-agreed commercial offer in Exhibit B.</w:t>
            </w:r>
          </w:p>
        </w:tc>
      </w:tr>
    </w:tbl>
    <w:bookmarkEnd w:id="25"/>
    <w:bookmarkStart w:id="26" w:name="what-iden2-provides"/>
    <w:p>
      <w:pPr>
        <w:pStyle w:val="Heading1"/>
      </w:pPr>
      <w:r>
        <w:t xml:space="preserve">3. WHAT iDen2 PROVIDES</w:t>
      </w:r>
    </w:p>
    <w:p>
      <w:pPr>
        <w:pStyle w:val="FirstParagraph"/>
      </w:pPr>
      <w:r>
        <w:rPr>
          <w:bCs/>
          <w:b/>
        </w:rPr>
        <w:t xml:space="preserve">3.1 Access.</w:t>
      </w:r>
      <w:r>
        <w:t xml:space="preserve"> </w:t>
      </w:r>
      <w:r>
        <w:t xml:space="preserve">During the PoV Period, iDen2 gives the Customer a non-exclusive, non-transferable right to use the Platform in the test environment, only to carry out the PoV Plan.</w:t>
      </w:r>
    </w:p>
    <w:p>
      <w:pPr>
        <w:pStyle w:val="BodyText"/>
      </w:pPr>
      <w:r>
        <w:rPr>
          <w:bCs/>
          <w:b/>
        </w:rPr>
        <w:t xml:space="preserve">3.2 Support.</w:t>
      </w:r>
      <w:r>
        <w:t xml:space="preserve"> </w:t>
      </w:r>
      <w:r>
        <w:t xml:space="preserve">iDen2 will provide the support and engineering time described in the PoV Plan. Anything beyond that needs a written change to the PoV Plan, and may be charged.</w:t>
      </w:r>
    </w:p>
    <w:p>
      <w:pPr>
        <w:pStyle w:val="BodyText"/>
      </w:pPr>
      <w:r>
        <w:rPr>
          <w:bCs/>
          <w:b/>
        </w:rPr>
        <w:t xml:space="preserve">3.3 Weekly check-in.</w:t>
      </w:r>
      <w:r>
        <w:t xml:space="preserve"> </w:t>
      </w:r>
      <w:r>
        <w:t xml:space="preserve">The parties will meet at least every [week / two weeks] to review progress against the Success Criteria.</w:t>
      </w:r>
    </w:p>
    <w:bookmarkEnd w:id="26"/>
    <w:bookmarkStart w:id="27" w:name="what-the-customer-provides"/>
    <w:p>
      <w:pPr>
        <w:pStyle w:val="Heading1"/>
      </w:pPr>
      <w:r>
        <w:t xml:space="preserve">4. WHAT THE CUSTOMER PROVIDES</w:t>
      </w:r>
    </w:p>
    <w:p>
      <w:pPr>
        <w:pStyle w:val="FirstParagraph"/>
      </w:pPr>
      <w:r>
        <w:rPr>
          <w:bCs/>
          <w:b/>
        </w:rPr>
        <w:t xml:space="preserve">4.1 Resources.</w:t>
      </w:r>
      <w:r>
        <w:t xml:space="preserve"> </w:t>
      </w:r>
      <w:r>
        <w:t xml:space="preserve">The Customer will provide the people, systems, information, and decisions listed in the PoV Plan, on time. Delays by the Customer extend the PoV Period only if the parties agree in writing. If they do not agree, the PoV Period still ends on its date.</w:t>
      </w:r>
    </w:p>
    <w:p>
      <w:pPr>
        <w:pStyle w:val="BodyText"/>
      </w:pPr>
      <w:r>
        <w:rPr>
          <w:bCs/>
          <w:b/>
        </w:rPr>
        <w:t xml:space="preserve">4.2 Test Data only.</w:t>
      </w:r>
      <w:r>
        <w:t xml:space="preserve"> </w:t>
      </w:r>
      <w:r>
        <w:t xml:space="preserve">The Customer will use synthetic or dummy data in the PoV. The Customer must not put real Personal Data of its customers, employees, or citizens into the Platform unless the PoV Plan says so and the parties have signed a Data Processing Addendum (Template 08).</w:t>
      </w:r>
    </w:p>
    <w:p>
      <w:pPr>
        <w:pStyle w:val="BodyText"/>
      </w:pPr>
      <w:r>
        <w:rPr>
          <w:bCs/>
          <w:b/>
        </w:rPr>
        <w:t xml:space="preserve">4.3 Evaluation use only.</w:t>
      </w:r>
      <w:r>
        <w:t xml:space="preserve"> </w:t>
      </w:r>
      <w:r>
        <w:t xml:space="preserve">The Customer must not use the PoV results in production or in live decisions about any person, and must not: copy or reverse engineer the Platform; give access to anyone not named in the PoV Plan; benchmark or publish results; or use the Platform to build a competing product.</w:t>
      </w:r>
    </w:p>
    <w:p>
      <w:pPr>
        <w:pStyle w:val="BodyText"/>
      </w:pPr>
      <w:r>
        <w:rPr>
          <w:bCs/>
          <w:b/>
        </w:rPr>
        <w:t xml:space="preserve">4.4 Named users.</w:t>
      </w:r>
      <w:r>
        <w:t xml:space="preserve"> </w:t>
      </w:r>
      <w:r>
        <w:t xml:space="preserve">Only the Customer’s employees and contractors named in the PoV Plan may use the Platform. Contractors who compete with iDen2 are not allowed without iDen2’s written consent.</w:t>
      </w:r>
    </w:p>
    <w:bookmarkEnd w:id="27"/>
    <w:bookmarkStart w:id="28" w:name="fee-and-credit"/>
    <w:p>
      <w:pPr>
        <w:pStyle w:val="Heading1"/>
      </w:pPr>
      <w:r>
        <w:t xml:space="preserve">5. FEE AND CREDIT</w:t>
      </w:r>
    </w:p>
    <w:p>
      <w:pPr>
        <w:pStyle w:val="FirstParagraph"/>
      </w:pPr>
      <w:r>
        <w:rPr>
          <w:bCs/>
          <w:b/>
        </w:rPr>
        <w:t xml:space="preserve">5.1 Fee.</w:t>
      </w:r>
      <w:r>
        <w:t xml:space="preserve"> </w:t>
      </w:r>
      <w:r>
        <w:t xml:space="preserve">The Customer will pay a PoV fee of USD [AMOUNT], invoiced on signing and due within [15] days. [ALTERNATIVE: No PoV fee applies. The Customer’s commitments in Section 4 and Exhibit A are the consideration.]</w:t>
      </w:r>
    </w:p>
    <w:p>
      <w:pPr>
        <w:pStyle w:val="BodyText"/>
      </w:pPr>
      <w:r>
        <w:rPr>
          <w:bCs/>
          <w:b/>
        </w:rPr>
        <w:t xml:space="preserve">5.2 Credit.</w:t>
      </w:r>
      <w:r>
        <w:t xml:space="preserve"> </w:t>
      </w:r>
      <w:r>
        <w:t xml:space="preserve">If the Customer signs an Order Form for the Platform within [30] days after the PoV Period ends, iDen2 will credit [100]% of the PoV fee against the first-year fees in that Order Form.</w:t>
      </w:r>
    </w:p>
    <w:p>
      <w:pPr>
        <w:pStyle w:val="BodyText"/>
      </w:pPr>
      <w:r>
        <w:rPr>
          <w:bCs/>
          <w:b/>
        </w:rPr>
        <w:t xml:space="preserve">5.3 Expenses.</w:t>
      </w:r>
      <w:r>
        <w:t xml:space="preserve"> </w:t>
      </w:r>
      <w:r>
        <w:t xml:space="preserve">The Customer will pay reasonable, pre-approved travel expenses at cost.</w:t>
      </w:r>
    </w:p>
    <w:p>
      <w:pPr>
        <w:pStyle w:val="BodyText"/>
      </w:pPr>
      <w:r>
        <w:rPr>
          <w:bCs/>
          <w:b/>
        </w:rPr>
        <w:t xml:space="preserve">5.4 Taxes.</w:t>
      </w:r>
      <w:r>
        <w:t xml:space="preserve"> </w:t>
      </w:r>
      <w:r>
        <w:t xml:space="preserve">The PoV fee does not include taxes. The Customer pays all sales, use, value-added, and similar taxes, except taxes on iDen2’s net income. If the Customer must withhold tax by law, it will pay the tax authority on time, give iDen2 an official receipt, and increase its payment so iDen2 receives the full fee, unless a valid treaty or exemption means no withholding applies.</w:t>
      </w:r>
    </w:p>
    <w:bookmarkEnd w:id="28"/>
    <w:bookmarkStart w:id="29" w:name="success-criteria-and-close-out"/>
    <w:p>
      <w:pPr>
        <w:pStyle w:val="Heading1"/>
      </w:pPr>
      <w:r>
        <w:t xml:space="preserve">6. SUCCESS CRITERIA AND CLOSE-OUT</w:t>
      </w:r>
    </w:p>
    <w:p>
      <w:pPr>
        <w:pStyle w:val="FirstParagraph"/>
      </w:pPr>
      <w:r>
        <w:rPr>
          <w:bCs/>
          <w:b/>
        </w:rPr>
        <w:t xml:space="preserve">6.1 Measuring success.</w:t>
      </w:r>
      <w:r>
        <w:t xml:space="preserve"> </w:t>
      </w:r>
      <w:r>
        <w:t xml:space="preserve">Success is measured only against the Success Criteria in the PoV Plan. Any criterion not written there does not count.</w:t>
      </w:r>
    </w:p>
    <w:p>
      <w:pPr>
        <w:pStyle w:val="BodyText"/>
      </w:pPr>
      <w:r>
        <w:rPr>
          <w:bCs/>
          <w:b/>
        </w:rPr>
        <w:t xml:space="preserve">6.2 Close-out meeting.</w:t>
      </w:r>
      <w:r>
        <w:t xml:space="preserve"> </w:t>
      </w:r>
      <w:r>
        <w:t xml:space="preserve">Within [10] business days after the PoV Period ends, the parties will meet to review the results. iDen2 will prepare a short close-out report. The Customer will then confirm in writing, within [5] business days, one of three outcomes: (a)</w:t>
      </w:r>
      <w:r>
        <w:t xml:space="preserve"> </w:t>
      </w:r>
      <w:r>
        <w:rPr>
          <w:bCs/>
          <w:b/>
        </w:rPr>
        <w:t xml:space="preserve">Success</w:t>
      </w:r>
      <w:r>
        <w:t xml:space="preserve">: the Success Criteria are met; (b)</w:t>
      </w:r>
      <w:r>
        <w:t xml:space="preserve"> </w:t>
      </w:r>
      <w:r>
        <w:rPr>
          <w:bCs/>
          <w:b/>
        </w:rPr>
        <w:t xml:space="preserve">Partial</w:t>
      </w:r>
      <w:r>
        <w:t xml:space="preserve">: some are met and the parties list what is left; or (c)</w:t>
      </w:r>
      <w:r>
        <w:t xml:space="preserve"> </w:t>
      </w:r>
      <w:r>
        <w:rPr>
          <w:bCs/>
          <w:b/>
        </w:rPr>
        <w:t xml:space="preserve">Not met</w:t>
      </w:r>
      <w:r>
        <w:t xml:space="preserve">: the criteria are not met.</w:t>
      </w:r>
    </w:p>
    <w:p>
      <w:pPr>
        <w:pStyle w:val="BodyText"/>
      </w:pPr>
      <w:r>
        <w:rPr>
          <w:bCs/>
          <w:b/>
        </w:rPr>
        <w:t xml:space="preserve">6.3 No answer is a result.</w:t>
      </w:r>
      <w:r>
        <w:t xml:space="preserve"> </w:t>
      </w:r>
      <w:r>
        <w:t xml:space="preserve">If the Customer does not respond within the time in 6.2, and iDen2’s report shows the Success Criteria are met, the outcome is Success.</w:t>
      </w:r>
    </w:p>
    <w:p>
      <w:pPr>
        <w:pStyle w:val="BodyText"/>
      </w:pPr>
      <w:r>
        <w:rPr>
          <w:bCs/>
          <w:b/>
        </w:rPr>
        <w:t xml:space="preserve">6.4 Conversion.</w:t>
      </w:r>
      <w:r>
        <w:t xml:space="preserve"> </w:t>
      </w:r>
      <w:r>
        <w:t xml:space="preserve">If the outcome is Success, iDen2 will keep the Conversion Offer in Exhibit B open for [30] days after the close-out meeting. If the Customer accepts it, the parties will sign an MSA and Order Form based on iDen2’s standard templates, with the pricing in the Conversion Offer. Neither party has to sign any later contract. Outcomes (b) and (c) do not create any duty to buy.</w:t>
      </w:r>
    </w:p>
    <w:p>
      <w:pPr>
        <w:pStyle w:val="BlockText"/>
      </w:pPr>
      <w:r>
        <w:rPr>
          <w:bCs/>
          <w:b/>
        </w:rPr>
        <w:t xml:space="preserve">Drafting note:</w:t>
      </w:r>
      <w:r>
        <w:t xml:space="preserve"> </w:t>
      </w:r>
      <w:r>
        <w:t xml:space="preserve">Do not promise to sign a later contract. A court may treat</w:t>
      </w:r>
      <w:r>
        <w:t xml:space="preserve"> </w:t>
      </w:r>
      <w:r>
        <w:t xml:space="preserve">“</w:t>
      </w:r>
      <w:r>
        <w:t xml:space="preserve">agree to agree</w:t>
      </w:r>
      <w:r>
        <w:t xml:space="preserve">”</w:t>
      </w:r>
      <w:r>
        <w:t xml:space="preserve"> </w:t>
      </w:r>
      <w:r>
        <w:t xml:space="preserve">clauses as unenforceable, and it can also create a duty to negotiate that the customer uses against you. The pre-agreed pricing in Exhibit B is the commercial pull. That is enough.</w:t>
      </w:r>
    </w:p>
    <w:bookmarkEnd w:id="29"/>
    <w:bookmarkStart w:id="30" w:name="intellectual-property-and-feedback"/>
    <w:p>
      <w:pPr>
        <w:pStyle w:val="Heading1"/>
      </w:pPr>
      <w:r>
        <w:t xml:space="preserve">7. INTELLECTUAL PROPERTY AND FEEDBACK</w:t>
      </w:r>
    </w:p>
    <w:p>
      <w:pPr>
        <w:pStyle w:val="FirstParagraph"/>
      </w:pPr>
      <w:r>
        <w:rPr>
          <w:bCs/>
          <w:b/>
        </w:rPr>
        <w:t xml:space="preserve">7.1 iDen2 owns the Platform</w:t>
      </w:r>
      <w:r>
        <w:t xml:space="preserve"> </w:t>
      </w:r>
      <w:r>
        <w:t xml:space="preserve">and everything built on it. The Customer gets only the right to use it under Section 3.1.</w:t>
      </w:r>
    </w:p>
    <w:p>
      <w:pPr>
        <w:pStyle w:val="BodyText"/>
      </w:pPr>
      <w:r>
        <w:rPr>
          <w:bCs/>
          <w:b/>
        </w:rPr>
        <w:t xml:space="preserve">7.2 Customer Data.</w:t>
      </w:r>
      <w:r>
        <w:t xml:space="preserve"> </w:t>
      </w:r>
      <w:r>
        <w:t xml:space="preserve">The Customer keeps ownership of its Test Data and gives iDen2 the right to use it only to run the PoV.</w:t>
      </w:r>
    </w:p>
    <w:p>
      <w:pPr>
        <w:pStyle w:val="BodyText"/>
      </w:pPr>
      <w:r>
        <w:rPr>
          <w:bCs/>
          <w:b/>
        </w:rPr>
        <w:t xml:space="preserve">7.3 Results.</w:t>
      </w:r>
      <w:r>
        <w:t xml:space="preserve"> </w:t>
      </w:r>
      <w:r>
        <w:t xml:space="preserve">The Customer may use the PoV results to decide whether to buy. If the PoV produces configuration or integration work specific to the Customer, iDen2 keeps ownership but the Customer may keep a copy of the PoV Plan and close-out report for internal use.</w:t>
      </w:r>
    </w:p>
    <w:p>
      <w:pPr>
        <w:pStyle w:val="BodyText"/>
      </w:pPr>
      <w:r>
        <w:rPr>
          <w:bCs/>
          <w:b/>
        </w:rPr>
        <w:t xml:space="preserve">7.4 Feedback.</w:t>
      </w:r>
      <w:r>
        <w:t xml:space="preserve"> </w:t>
      </w:r>
      <w:r>
        <w:t xml:space="preserve">iDen2 may use any feedback or suggestions from the Customer freely and without payment.</w:t>
      </w:r>
    </w:p>
    <w:bookmarkEnd w:id="30"/>
    <w:bookmarkStart w:id="31" w:name="confidentiality"/>
    <w:p>
      <w:pPr>
        <w:pStyle w:val="Heading1"/>
      </w:pPr>
      <w:r>
        <w:t xml:space="preserve">8. CONFIDENTIALITY</w:t>
      </w:r>
    </w:p>
    <w:p>
      <w:pPr>
        <w:pStyle w:val="FirstParagraph"/>
      </w:pPr>
      <w:r>
        <w:rPr>
          <w:bCs/>
          <w:b/>
        </w:rPr>
        <w:t xml:space="preserve">8.1</w:t>
      </w:r>
      <w:r>
        <w:t xml:space="preserve"> </w:t>
      </w:r>
      <w:r>
        <w:t xml:space="preserve">Each party will keep the other’s non-public information confidential, use it only for the PoV, protect it with at least reasonable care, and share it only with people who need it and are bound to keep it confidential. This does not cover information that is public through no fault of the receiver, already known to it, given to it by a third party without restriction, or developed on its own. A party may disclose information if the law requires it, after giving notice where it can.</w:t>
      </w:r>
    </w:p>
    <w:p>
      <w:pPr>
        <w:pStyle w:val="BodyText"/>
      </w:pPr>
      <w:r>
        <w:rPr>
          <w:bCs/>
          <w:b/>
        </w:rPr>
        <w:t xml:space="preserve">8.2 Duration.</w:t>
      </w:r>
      <w:r>
        <w:t xml:space="preserve"> </w:t>
      </w:r>
      <w:r>
        <w:t xml:space="preserve">These duties last 5 years after this Agreement ends, and for trade secrets as long as they remain trade secrets. The Platform, its architecture, performance data, and the PoV results are iDen2’s Confidential Information.</w:t>
      </w:r>
    </w:p>
    <w:p>
      <w:pPr>
        <w:pStyle w:val="BodyText"/>
      </w:pPr>
      <w:r>
        <w:rPr>
          <w:bCs/>
          <w:b/>
        </w:rPr>
        <w:t xml:space="preserve">8.3 Existing NDA.</w:t>
      </w:r>
      <w:r>
        <w:t xml:space="preserve"> </w:t>
      </w:r>
      <w:r>
        <w:t xml:space="preserve">If the parties have signed a Mutual NDA, that NDA applies to the PoV, and if it conflicts with this Section, the NDA wins.</w:t>
      </w:r>
    </w:p>
    <w:bookmarkEnd w:id="31"/>
    <w:bookmarkStart w:id="32" w:name="warranty-disclaimer"/>
    <w:p>
      <w:pPr>
        <w:pStyle w:val="Heading1"/>
      </w:pPr>
      <w:r>
        <w:t xml:space="preserve">9. WARRANTY DISCLAIMER</w:t>
      </w:r>
    </w:p>
    <w:p>
      <w:pPr>
        <w:pStyle w:val="FirstParagraph"/>
      </w:pPr>
      <w:r>
        <w:t xml:space="preserve">THE PLATFORM IS PROVIDED FOR EVALUATION</w:t>
      </w:r>
      <w:r>
        <w:t xml:space="preserve"> </w:t>
      </w:r>
      <w:r>
        <w:t xml:space="preserve">“</w:t>
      </w:r>
      <w:r>
        <w:t xml:space="preserve">AS IS</w:t>
      </w:r>
      <w:r>
        <w:t xml:space="preserve">”</w:t>
      </w:r>
      <w:r>
        <w:t xml:space="preserve"> </w:t>
      </w:r>
      <w:r>
        <w:t xml:space="preserve">AND</w:t>
      </w:r>
      <w:r>
        <w:t xml:space="preserve"> </w:t>
      </w:r>
      <w:r>
        <w:t xml:space="preserve">“</w:t>
      </w:r>
      <w:r>
        <w:t xml:space="preserve">AS AVAILABLE</w:t>
      </w:r>
      <w:r>
        <w:t xml:space="preserve">”</w:t>
      </w:r>
      <w:r>
        <w:t xml:space="preserve">. iDen2 GIVES NO WARRANTY OF ANY KIND, INCLUDING ANY WARRANTY THAT THE PLATFORM WILL BE ERROR-FREE, AVAILABLE, SECURE FOR PRODUCTION USE, OR SUITABLE FOR ANY PURPOSE, AND NO IMPLIED WARRANTY OF MERCHANTABILITY, FITNESS FOR A PARTICULAR PURPOSE, OR NON-INFRINGEMENT. NO SERVICE LEVELS APPLY. iDen2 DOES NOT PROMISE THAT THE PoV WILL MEET THE SUCCESS CRITERIA.</w:t>
      </w:r>
    </w:p>
    <w:bookmarkEnd w:id="32"/>
    <w:bookmarkStart w:id="33" w:name="liability"/>
    <w:p>
      <w:pPr>
        <w:pStyle w:val="Heading1"/>
      </w:pPr>
      <w:r>
        <w:t xml:space="preserve">10. LIABILITY</w:t>
      </w:r>
    </w:p>
    <w:p>
      <w:pPr>
        <w:pStyle w:val="FirstParagraph"/>
      </w:pPr>
      <w:r>
        <w:rPr>
          <w:bCs/>
          <w:b/>
        </w:rPr>
        <w:t xml:space="preserve">10.1</w:t>
      </w:r>
      <w:r>
        <w:t xml:space="preserve"> </w:t>
      </w:r>
      <w:r>
        <w:t xml:space="preserve">NEITHER PARTY IS LIABLE TO THE OTHER FOR INDIRECT, INCIDENTAL, SPECIAL, OR CONSEQUENTIAL DAMAGES, OR FOR LOST PROFITS OR REVENUE.</w:t>
      </w:r>
    </w:p>
    <w:p>
      <w:pPr>
        <w:pStyle w:val="BodyText"/>
      </w:pPr>
      <w:r>
        <w:rPr>
          <w:bCs/>
          <w:b/>
        </w:rPr>
        <w:t xml:space="preserve">10.2</w:t>
      </w:r>
      <w:r>
        <w:t xml:space="preserve"> </w:t>
      </w:r>
      <w:r>
        <w:t xml:space="preserve">EACH PARTY’S TOTAL LIABILITY UNDER THIS AGREEMENT IS LIMITED TO THE GREATER OF (A) THE POV FEE PAID AND (B) USD [10,000].</w:t>
      </w:r>
    </w:p>
    <w:p>
      <w:pPr>
        <w:pStyle w:val="BodyText"/>
      </w:pPr>
      <w:r>
        <w:rPr>
          <w:bCs/>
          <w:b/>
        </w:rPr>
        <w:t xml:space="preserve">10.3</w:t>
      </w:r>
      <w:r>
        <w:t xml:space="preserve"> </w:t>
      </w:r>
      <w:r>
        <w:t xml:space="preserve">These limits do not apply to: breach of confidentiality; the Customer’s breach of Section 4.3; fraud or willful misconduct; or liability that cannot be limited by law.</w:t>
      </w:r>
    </w:p>
    <w:p>
      <w:pPr>
        <w:pStyle w:val="BlockText"/>
      </w:pPr>
      <w:r>
        <w:rPr>
          <w:bCs/>
          <w:b/>
        </w:rPr>
        <w:t xml:space="preserve">Drafting note:</w:t>
      </w:r>
      <w:r>
        <w:t xml:space="preserve"> </w:t>
      </w:r>
      <w:r>
        <w:t xml:space="preserve">The cap in 10.2 is deliberately low because a PoV is free or low-priced and no production data is involved. Do not accept a customer’s request to apply the full MSA terms here. Move that discussion to the Order Form.</w:t>
      </w:r>
    </w:p>
    <w:bookmarkEnd w:id="33"/>
    <w:bookmarkStart w:id="34" w:name="term-and-ending"/>
    <w:p>
      <w:pPr>
        <w:pStyle w:val="Heading1"/>
      </w:pPr>
      <w:r>
        <w:t xml:space="preserve">11. TERM AND ENDING</w:t>
      </w:r>
    </w:p>
    <w:p>
      <w:pPr>
        <w:pStyle w:val="FirstParagraph"/>
      </w:pPr>
      <w:r>
        <w:rPr>
          <w:bCs/>
          <w:b/>
        </w:rPr>
        <w:t xml:space="preserve">11.1 Term.</w:t>
      </w:r>
      <w:r>
        <w:t xml:space="preserve"> </w:t>
      </w:r>
      <w:r>
        <w:t xml:space="preserve">This Agreement starts on the Effective Date and ends at the end of the PoV Period, unless ended earlier.</w:t>
      </w:r>
    </w:p>
    <w:p>
      <w:pPr>
        <w:pStyle w:val="BodyText"/>
      </w:pPr>
      <w:r>
        <w:rPr>
          <w:bCs/>
          <w:b/>
        </w:rPr>
        <w:t xml:space="preserve">11.2 Early end.</w:t>
      </w:r>
      <w:r>
        <w:t xml:space="preserve"> </w:t>
      </w:r>
      <w:r>
        <w:t xml:space="preserve">Either party may end this Agreement at any time on 10 days’ written notice. iDen2 may end it immediately if the Customer breaches Section 4.2 or 4.3.</w:t>
      </w:r>
    </w:p>
    <w:p>
      <w:pPr>
        <w:pStyle w:val="BodyText"/>
      </w:pPr>
      <w:r>
        <w:rPr>
          <w:bCs/>
          <w:b/>
        </w:rPr>
        <w:t xml:space="preserve">11.3 After the end.</w:t>
      </w:r>
      <w:r>
        <w:t xml:space="preserve"> </w:t>
      </w:r>
      <w:r>
        <w:t xml:space="preserve">On ending, access stops. The Customer will stop using the Platform, and each party will return or delete the other’s Confidential Information on request. iDen2 will delete Test Data within [30] days. The PoV fee is not refundable, except if iDen2 ends the PoV early other than for the Customer’s breach, in which case iDen2 refunds the fee for the part of the PoV Period not used.</w:t>
      </w:r>
    </w:p>
    <w:p>
      <w:pPr>
        <w:pStyle w:val="BodyText"/>
      </w:pPr>
      <w:r>
        <w:rPr>
          <w:bCs/>
          <w:b/>
        </w:rPr>
        <w:t xml:space="preserve">11.4 What survives.</w:t>
      </w:r>
      <w:r>
        <w:t xml:space="preserve"> </w:t>
      </w:r>
      <w:r>
        <w:t xml:space="preserve">Sections 4.3, 7, 8, 9, 10, 11.3, 12 and 13 survive.</w:t>
      </w:r>
    </w:p>
    <w:bookmarkEnd w:id="34"/>
    <w:bookmarkStart w:id="35" w:name="law-and-disputes"/>
    <w:p>
      <w:pPr>
        <w:pStyle w:val="Heading1"/>
      </w:pPr>
      <w:r>
        <w:t xml:space="preserve">12. LAW AND DISPUTES</w:t>
      </w:r>
    </w:p>
    <w:p>
      <w:pPr>
        <w:pStyle w:val="FirstParagraph"/>
      </w:pPr>
      <w:r>
        <w:t xml:space="preserve">This Agreement is governed by the laws of the State of Wyoming, USA. The parties will first try to resolve any dispute through senior executives for 30 days. If that fails, the dispute goes to final and binding arbitration by one arbitrator under the JAMS Comprehensive Arbitration Rules, seated in Cheyenne, Wyoming, in English. Either party may ask a court in Wyoming for urgent injunctive relief to protect its Confidential Information or intellectual property.</w:t>
      </w:r>
    </w:p>
    <w:bookmarkEnd w:id="35"/>
    <w:bookmarkStart w:id="36" w:name="general"/>
    <w:p>
      <w:pPr>
        <w:pStyle w:val="Heading1"/>
      </w:pPr>
      <w:r>
        <w:t xml:space="preserve">13. GENERAL</w:t>
      </w:r>
    </w:p>
    <w:p>
      <w:pPr>
        <w:pStyle w:val="FirstParagraph"/>
      </w:pPr>
      <w:r>
        <w:rPr>
          <w:bCs/>
          <w:b/>
        </w:rPr>
        <w:t xml:space="preserve">13.1 Export and sanctions.</w:t>
      </w:r>
      <w:r>
        <w:t xml:space="preserve"> </w:t>
      </w:r>
      <w:r>
        <w:t xml:space="preserve">The Customer confirms it is not on a sanctions or denied-party list and will not use or export the Platform in breach of US or other applicable export or sanctions laws.</w:t>
      </w:r>
    </w:p>
    <w:p>
      <w:pPr>
        <w:pStyle w:val="BodyText"/>
      </w:pPr>
      <w:r>
        <w:rPr>
          <w:bCs/>
          <w:b/>
        </w:rPr>
        <w:t xml:space="preserve">13.2 Publicity.</w:t>
      </w:r>
      <w:r>
        <w:t xml:space="preserve"> </w:t>
      </w:r>
      <w:r>
        <w:t xml:space="preserve">Neither party will use the other’s name or logo or announce the PoV without written consent.</w:t>
      </w:r>
    </w:p>
    <w:p>
      <w:pPr>
        <w:pStyle w:val="BodyText"/>
      </w:pPr>
      <w:r>
        <w:rPr>
          <w:bCs/>
          <w:b/>
        </w:rPr>
        <w:t xml:space="preserve">13.3 No commitment.</w:t>
      </w:r>
      <w:r>
        <w:t xml:space="preserve"> </w:t>
      </w:r>
      <w:r>
        <w:t xml:space="preserve">Nothing in this Agreement is a commitment to buy, sell, or negotiate further, other than keeping the Conversion Offer open under Section 6.4.</w:t>
      </w:r>
    </w:p>
    <w:p>
      <w:pPr>
        <w:pStyle w:val="BodyText"/>
      </w:pPr>
      <w:r>
        <w:rPr>
          <w:bCs/>
          <w:b/>
        </w:rPr>
        <w:t xml:space="preserve">13.4 Whole agreement.</w:t>
      </w:r>
      <w:r>
        <w:t xml:space="preserve"> </w:t>
      </w:r>
      <w:r>
        <w:t xml:space="preserve">This Agreement, the PoV Plan, and Exhibit B are the whole agreement on the PoV. A later MSA replaces this Agreement from its effective date, except that confidentiality for information shared under this Agreement continues.</w:t>
      </w:r>
    </w:p>
    <w:p>
      <w:pPr>
        <w:pStyle w:val="BodyText"/>
      </w:pPr>
      <w:r>
        <w:rPr>
          <w:bCs/>
          <w:b/>
        </w:rPr>
        <w:t xml:space="preserve">13.5 General terms.</w:t>
      </w:r>
      <w:r>
        <w:t xml:space="preserve"> </w:t>
      </w:r>
      <w:r>
        <w:t xml:space="preserve">The parties are independent. Neither may assign this Agreement without the other’s consent, except to a successor of the whole business. Changes must be in writing and signed. Notices go to the contacts in the PoV Plan, with a copy to legal@iden2.com for iDen2. This Agreement may be signed electronically and in counterparts.</w:t>
      </w:r>
    </w:p>
    <w:bookmarkEnd w:id="36"/>
    <w:bookmarkStart w:id="37"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p>
      <w:r>
        <w:br w:type="page"/>
      </w:r>
    </w:p>
    <w:bookmarkEnd w:id="37"/>
    <w:bookmarkStart w:id="38" w:name="exhibit-a-pov-plan"/>
    <w:p>
      <w:pPr>
        <w:pStyle w:val="Heading1"/>
      </w:pPr>
      <w:r>
        <w:t xml:space="preserve">EXHIBIT A: POV PLAN</w:t>
      </w:r>
    </w:p>
    <w:p>
      <w:pPr>
        <w:pStyle w:val="FirstParagraph"/>
      </w:pPr>
      <w:r>
        <w:rPr>
          <w:bCs/>
          <w:b/>
        </w:rPr>
        <w:t xml:space="preserve">A-1 Goals.</w:t>
      </w:r>
      <w:r>
        <w:t xml:space="preserve"> </w:t>
      </w:r>
      <w:r>
        <w:t xml:space="preserve">[Write 2 to 3 plain sentences on the problem the Customer wants to prove can be solved.]</w:t>
      </w:r>
    </w:p>
    <w:p>
      <w:pPr>
        <w:pStyle w:val="BodyText"/>
      </w:pPr>
      <w:r>
        <w:rPr>
          <w:bCs/>
          <w:b/>
        </w:rPr>
        <w:t xml:space="preserve">A-2 Scope.</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Item</w:t>
            </w:r>
          </w:p>
        </w:tc>
        <w:tc>
          <w:tcPr>
            <w:tcW w:type="dxa" w:w="6624"/>
            <w:shd w:val="clear" w:color="auto" w:fill="EFE3FB"/>
          </w:tcPr>
          <w:p>
            <w:pPr>
              <w:pStyle w:val="Compact"/>
              <w:spacing w:after="20" w:before="20"/>
              <w:jc w:val="left"/>
            </w:pPr>
            <w:r>
              <w:rPr>
                <w:rFonts w:ascii="Calibri" w:hAnsi="Calibri"/>
                <w:b/>
                <w:sz w:val="19"/>
              </w:rPr>
              <w:t xml:space="preserve">Details</w:t>
            </w:r>
          </w:p>
        </w:tc>
      </w:tr>
      <w:tr>
        <w:tc>
          <w:tcPr>
            <w:tcW w:type="dxa" w:w="2736"/>
          </w:tcPr>
          <w:p>
            <w:pPr>
              <w:pStyle w:val="Compact"/>
              <w:spacing w:after="20" w:before="20"/>
              <w:jc w:val="left"/>
            </w:pPr>
            <w:r>
              <w:rPr>
                <w:rFonts w:ascii="Calibri" w:hAnsi="Calibri"/>
                <w:sz w:val="19"/>
              </w:rPr>
              <w:t xml:space="preserve">Platform modules in scope</w:t>
            </w:r>
          </w:p>
        </w:tc>
        <w:tc>
          <w:tcPr>
            <w:tcW w:type="dxa" w:w="6624"/>
          </w:tcPr>
          <w:p>
            <w:pPr>
              <w:pStyle w:val="Compact"/>
              <w:spacing w:after="20" w:before="20"/>
              <w:jc w:val="left"/>
            </w:pPr>
            <w:r>
              <w:rPr>
                <w:rFonts w:ascii="Calibri" w:hAnsi="Calibri"/>
                <w:sz w:val="19"/>
              </w:rPr>
              <w:t xml:space="preserve">[e.g., Credentials Factory, Trust Engine, Holdr Wallet]</w:t>
            </w:r>
          </w:p>
        </w:tc>
      </w:tr>
      <w:tr>
        <w:tc>
          <w:tcPr>
            <w:tcW w:type="dxa" w:w="2736"/>
          </w:tcPr>
          <w:p>
            <w:pPr>
              <w:pStyle w:val="Compact"/>
              <w:spacing w:after="20" w:before="20"/>
              <w:jc w:val="left"/>
            </w:pPr>
            <w:r>
              <w:rPr>
                <w:rFonts w:ascii="Calibri" w:hAnsi="Calibri"/>
                <w:sz w:val="19"/>
              </w:rPr>
              <w:t xml:space="preserve">Use case</w:t>
            </w:r>
          </w:p>
        </w:tc>
        <w:tc>
          <w:tcPr>
            <w:tcW w:type="dxa" w:w="6624"/>
          </w:tcPr>
          <w:p>
            <w:pPr>
              <w:pStyle w:val="Compact"/>
              <w:spacing w:after="20" w:before="20"/>
              <w:jc w:val="left"/>
            </w:pPr>
            <w:r>
              <w:rPr>
                <w:rFonts w:ascii="Calibri" w:hAnsi="Calibri"/>
                <w:sz w:val="19"/>
              </w:rPr>
              <w:t xml:space="preserve">[e.g., Issue a staff ID Credential to a test wallet and verify it at a test door reader]</w:t>
            </w:r>
          </w:p>
        </w:tc>
      </w:tr>
      <w:tr>
        <w:tc>
          <w:tcPr>
            <w:tcW w:type="dxa" w:w="2736"/>
          </w:tcPr>
          <w:p>
            <w:pPr>
              <w:pStyle w:val="Compact"/>
              <w:spacing w:after="20" w:before="20"/>
              <w:jc w:val="left"/>
            </w:pPr>
            <w:r>
              <w:rPr>
                <w:rFonts w:ascii="Calibri" w:hAnsi="Calibri"/>
                <w:sz w:val="19"/>
              </w:rPr>
              <w:t xml:space="preserve">Environment</w:t>
            </w:r>
          </w:p>
        </w:tc>
        <w:tc>
          <w:tcPr>
            <w:tcW w:type="dxa" w:w="6624"/>
          </w:tcPr>
          <w:p>
            <w:pPr>
              <w:pStyle w:val="Compact"/>
              <w:spacing w:after="20" w:before="20"/>
              <w:jc w:val="left"/>
            </w:pPr>
            <w:r>
              <w:rPr>
                <w:rFonts w:ascii="Calibri" w:hAnsi="Calibri"/>
                <w:sz w:val="19"/>
              </w:rPr>
              <w:t xml:space="preserve">iDen2-hosted test environment [URL / region]</w:t>
            </w:r>
          </w:p>
        </w:tc>
      </w:tr>
      <w:tr>
        <w:tc>
          <w:tcPr>
            <w:tcW w:type="dxa" w:w="2736"/>
          </w:tcPr>
          <w:p>
            <w:pPr>
              <w:pStyle w:val="Compact"/>
              <w:spacing w:after="20" w:before="20"/>
              <w:jc w:val="left"/>
            </w:pPr>
            <w:r>
              <w:rPr>
                <w:rFonts w:ascii="Calibri" w:hAnsi="Calibri"/>
                <w:sz w:val="19"/>
              </w:rPr>
              <w:t xml:space="preserve">Named users</w:t>
            </w:r>
          </w:p>
        </w:tc>
        <w:tc>
          <w:tcPr>
            <w:tcW w:type="dxa" w:w="6624"/>
          </w:tcPr>
          <w:p>
            <w:pPr>
              <w:pStyle w:val="Compact"/>
              <w:spacing w:after="20" w:before="20"/>
              <w:jc w:val="left"/>
            </w:pPr>
            <w:r>
              <w:rPr>
                <w:rFonts w:ascii="Calibri" w:hAnsi="Calibri"/>
                <w:sz w:val="19"/>
              </w:rPr>
              <w:t xml:space="preserve">[NAMES AND ROLES, maximum [10]]</w:t>
            </w:r>
          </w:p>
        </w:tc>
      </w:tr>
      <w:tr>
        <w:tc>
          <w:tcPr>
            <w:tcW w:type="dxa" w:w="2736"/>
          </w:tcPr>
          <w:p>
            <w:pPr>
              <w:pStyle w:val="Compact"/>
              <w:spacing w:after="20" w:before="20"/>
              <w:jc w:val="left"/>
            </w:pPr>
            <w:r>
              <w:rPr>
                <w:rFonts w:ascii="Calibri" w:hAnsi="Calibri"/>
                <w:sz w:val="19"/>
              </w:rPr>
              <w:t xml:space="preserve">Integrations in scope</w:t>
            </w:r>
          </w:p>
        </w:tc>
        <w:tc>
          <w:tcPr>
            <w:tcW w:type="dxa" w:w="6624"/>
          </w:tcPr>
          <w:p>
            <w:pPr>
              <w:pStyle w:val="Compact"/>
              <w:spacing w:after="20" w:before="20"/>
              <w:jc w:val="left"/>
            </w:pPr>
            <w:r>
              <w:rPr>
                <w:rFonts w:ascii="Calibri" w:hAnsi="Calibri"/>
                <w:sz w:val="19"/>
              </w:rPr>
              <w:t xml:space="preserve">[Name each. Anything not named is out of scope.]</w:t>
            </w:r>
          </w:p>
        </w:tc>
      </w:tr>
      <w:tr>
        <w:tc>
          <w:tcPr>
            <w:tcW w:type="dxa" w:w="2736"/>
          </w:tcPr>
          <w:p>
            <w:pPr>
              <w:pStyle w:val="Compact"/>
              <w:spacing w:after="20" w:before="20"/>
              <w:jc w:val="left"/>
            </w:pPr>
            <w:r>
              <w:rPr>
                <w:rFonts w:ascii="Calibri" w:hAnsi="Calibri"/>
                <w:sz w:val="19"/>
              </w:rPr>
              <w:t xml:space="preserve">Test Data</w:t>
            </w:r>
          </w:p>
        </w:tc>
        <w:tc>
          <w:tcPr>
            <w:tcW w:type="dxa" w:w="6624"/>
          </w:tcPr>
          <w:p>
            <w:pPr>
              <w:pStyle w:val="Compact"/>
              <w:spacing w:after="20" w:before="20"/>
              <w:jc w:val="left"/>
            </w:pPr>
            <w:r>
              <w:rPr>
                <w:rFonts w:ascii="Calibri" w:hAnsi="Calibri"/>
                <w:sz w:val="19"/>
              </w:rPr>
              <w:t xml:space="preserve">[Synthetic / anonymized. Describe volume.]</w:t>
            </w:r>
          </w:p>
        </w:tc>
      </w:tr>
      <w:tr>
        <w:tc>
          <w:tcPr>
            <w:tcW w:type="dxa" w:w="2736"/>
          </w:tcPr>
          <w:p>
            <w:pPr>
              <w:pStyle w:val="Compact"/>
              <w:spacing w:after="20" w:before="20"/>
              <w:jc w:val="left"/>
            </w:pPr>
            <w:r>
              <w:rPr>
                <w:rFonts w:ascii="Calibri" w:hAnsi="Calibri"/>
                <w:sz w:val="19"/>
              </w:rPr>
              <w:t xml:space="preserve">Out of scope</w:t>
            </w:r>
          </w:p>
        </w:tc>
        <w:tc>
          <w:tcPr>
            <w:tcW w:type="dxa" w:w="6624"/>
          </w:tcPr>
          <w:p>
            <w:pPr>
              <w:pStyle w:val="Compact"/>
              <w:spacing w:after="20" w:before="20"/>
              <w:jc w:val="left"/>
            </w:pPr>
            <w:r>
              <w:rPr>
                <w:rFonts w:ascii="Calibri" w:hAnsi="Calibri"/>
                <w:sz w:val="19"/>
              </w:rPr>
              <w:t xml:space="preserve">[List: e.g., production integration, load testing, security certification, custom development]</w:t>
            </w:r>
          </w:p>
        </w:tc>
      </w:tr>
    </w:tbl>
    <w:p>
      <w:pPr>
        <w:pStyle w:val="BodyText"/>
      </w:pPr>
      <w:r>
        <w:rPr>
          <w:bCs/>
          <w:b/>
        </w:rPr>
        <w:t xml:space="preserve">A-3 Success Criteria.</w:t>
      </w:r>
      <w:r>
        <w:t xml:space="preserve"> </w:t>
      </w:r>
      <w:r>
        <w:t xml:space="preserve">All criteria must be measurable and written before the PoV starts.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584"/>
        <w:gridCol w:w="1584"/>
        <w:gridCol w:w="1584"/>
        <w:gridCol w:w="1584"/>
        <w:gridCol w:w="1584"/>
      </w:tblGrid>
      <w:tr>
        <w:trPr>
          <w:tblHeader w:val="true"/>
        </w:trPr>
        <w:tc>
          <w:tcPr>
            <w:shd w:val="clear" w:color="auto" w:fill="EFE3FB"/>
          </w:tcPr>
          <w:p>
            <w:pPr>
              <w:pStyle w:val="Compact"/>
              <w:spacing w:after="20" w:before="20"/>
              <w:jc w:val="left"/>
            </w:pPr>
            <w:r>
              <w:rPr>
                <w:rFonts w:ascii="Calibri" w:hAnsi="Calibri"/>
                <w:b/>
                <w:sz w:val="19"/>
              </w:rPr>
              <w:t xml:space="preserve">No.</w:t>
            </w:r>
          </w:p>
        </w:tc>
        <w:tc>
          <w:tcPr>
            <w:shd w:val="clear" w:color="auto" w:fill="EFE3FB"/>
          </w:tcPr>
          <w:p>
            <w:pPr>
              <w:pStyle w:val="Compact"/>
              <w:spacing w:after="20" w:before="20"/>
              <w:jc w:val="left"/>
            </w:pPr>
            <w:r>
              <w:rPr>
                <w:rFonts w:ascii="Calibri" w:hAnsi="Calibri"/>
                <w:b/>
                <w:sz w:val="19"/>
              </w:rPr>
              <w:t xml:space="preserve">Criterion</w:t>
            </w:r>
          </w:p>
        </w:tc>
        <w:tc>
          <w:tcPr>
            <w:shd w:val="clear" w:color="auto" w:fill="EFE3FB"/>
          </w:tcPr>
          <w:p>
            <w:pPr>
              <w:pStyle w:val="Compact"/>
              <w:spacing w:after="20" w:before="20"/>
              <w:jc w:val="left"/>
            </w:pPr>
            <w:r>
              <w:rPr>
                <w:rFonts w:ascii="Calibri" w:hAnsi="Calibri"/>
                <w:b/>
                <w:sz w:val="19"/>
              </w:rPr>
              <w:t xml:space="preserve">How it is measured</w:t>
            </w:r>
          </w:p>
        </w:tc>
        <w:tc>
          <w:tcPr>
            <w:shd w:val="clear" w:color="auto" w:fill="EFE3FB"/>
          </w:tcPr>
          <w:p>
            <w:pPr>
              <w:pStyle w:val="Compact"/>
              <w:spacing w:after="20" w:before="20"/>
              <w:jc w:val="left"/>
            </w:pPr>
            <w:r>
              <w:rPr>
                <w:rFonts w:ascii="Calibri" w:hAnsi="Calibri"/>
                <w:b/>
                <w:sz w:val="19"/>
              </w:rPr>
              <w:t xml:space="preserve">Target</w:t>
            </w:r>
          </w:p>
        </w:tc>
        <w:tc>
          <w:tcPr>
            <w:shd w:val="clear" w:color="auto" w:fill="EFE3FB"/>
          </w:tcPr>
          <w:p>
            <w:pPr>
              <w:pStyle w:val="Compact"/>
              <w:spacing w:after="20" w:before="20"/>
              <w:jc w:val="left"/>
            </w:pPr>
            <w:r>
              <w:rPr>
                <w:rFonts w:ascii="Calibri" w:hAnsi="Calibri"/>
                <w:b/>
                <w:sz w:val="19"/>
              </w:rPr>
              <w:t xml:space="preserve">Must-have or nice-to-have</w:t>
            </w:r>
          </w:p>
        </w:tc>
      </w:tr>
      <w:tr>
        <w:tc>
          <w:tcPr/>
          <w:p>
            <w:pPr>
              <w:pStyle w:val="Compact"/>
              <w:spacing w:after="20" w:before="20"/>
              <w:jc w:val="left"/>
            </w:pPr>
            <w:r>
              <w:rPr>
                <w:rFonts w:ascii="Calibri" w:hAnsi="Calibri"/>
                <w:sz w:val="19"/>
              </w:rPr>
              <w:t xml:space="preserve">1</w:t>
            </w:r>
          </w:p>
        </w:tc>
        <w:tc>
          <w:tcPr/>
          <w:p>
            <w:pPr>
              <w:pStyle w:val="Compact"/>
              <w:spacing w:after="20" w:before="20"/>
              <w:jc w:val="left"/>
            </w:pPr>
            <w:r>
              <w:rPr>
                <w:rFonts w:ascii="Calibri" w:hAnsi="Calibri"/>
                <w:sz w:val="19"/>
              </w:rPr>
              <w:t xml:space="preserve">[Issue a Credential to a test wallet]</w:t>
            </w:r>
          </w:p>
        </w:tc>
        <w:tc>
          <w:tcPr/>
          <w:p>
            <w:pPr>
              <w:pStyle w:val="Compact"/>
              <w:spacing w:after="20" w:before="20"/>
              <w:jc w:val="left"/>
            </w:pPr>
            <w:r>
              <w:rPr>
                <w:rFonts w:ascii="Calibri" w:hAnsi="Calibri"/>
                <w:sz w:val="19"/>
              </w:rPr>
              <w:t xml:space="preserve">[Demonstrated live to the Customer’s named reviewer]</w:t>
            </w:r>
          </w:p>
        </w:tc>
        <w:tc>
          <w:tcPr/>
          <w:p>
            <w:pPr>
              <w:pStyle w:val="Compact"/>
              <w:spacing w:after="20" w:before="20"/>
              <w:jc w:val="left"/>
            </w:pPr>
            <w:r>
              <w:rPr>
                <w:rFonts w:ascii="Calibri" w:hAnsi="Calibri"/>
                <w:sz w:val="19"/>
              </w:rPr>
              <w:t xml:space="preserve">[Works in under X seconds]</w:t>
            </w:r>
          </w:p>
        </w:tc>
        <w:tc>
          <w:tcPr/>
          <w:p>
            <w:pPr>
              <w:pStyle w:val="Compact"/>
              <w:spacing w:after="20" w:before="20"/>
              <w:jc w:val="left"/>
            </w:pPr>
            <w:r>
              <w:rPr>
                <w:rFonts w:ascii="Calibri" w:hAnsi="Calibri"/>
                <w:sz w:val="19"/>
              </w:rPr>
              <w:t xml:space="preserve">Must-have</w:t>
            </w:r>
          </w:p>
        </w:tc>
      </w:tr>
      <w:tr>
        <w:tc>
          <w:tcPr/>
          <w:p>
            <w:pPr>
              <w:pStyle w:val="Compact"/>
              <w:spacing w:after="20" w:before="20"/>
              <w:jc w:val="left"/>
            </w:pPr>
            <w:r>
              <w:rPr>
                <w:rFonts w:ascii="Calibri" w:hAnsi="Calibri"/>
                <w:sz w:val="19"/>
              </w:rPr>
              <w:t xml:space="preserve">2</w:t>
            </w:r>
          </w:p>
        </w:tc>
        <w:tc>
          <w:tcPr/>
          <w:p>
            <w:pPr>
              <w:pStyle w:val="Compact"/>
              <w:spacing w:after="20" w:before="20"/>
              <w:jc w:val="left"/>
            </w:pPr>
            <w:r>
              <w:rPr>
                <w:rFonts w:ascii="Calibri" w:hAnsi="Calibri"/>
                <w:sz w:val="19"/>
              </w:rPr>
              <w:t xml:space="preserve">[Verify a Credential presented from the wallet]</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Must-have</w:t>
            </w:r>
          </w:p>
        </w:tc>
      </w:tr>
      <w:tr>
        <w:tc>
          <w:tcPr/>
          <w:p>
            <w:pPr>
              <w:pStyle w:val="Compact"/>
              <w:spacing w:after="20" w:before="20"/>
              <w:jc w:val="left"/>
            </w:pPr>
            <w:r>
              <w:rPr>
                <w:rFonts w:ascii="Calibri" w:hAnsi="Calibri"/>
                <w:sz w:val="19"/>
              </w:rPr>
              <w:t xml:space="preserve">3</w:t>
            </w:r>
          </w:p>
        </w:tc>
        <w:tc>
          <w:tcPr/>
          <w:p>
            <w:pPr>
              <w:pStyle w:val="Compact"/>
              <w:spacing w:after="20" w:before="20"/>
              <w:jc w:val="left"/>
            </w:pPr>
            <w:r>
              <w:rPr>
                <w:rFonts w:ascii="Calibri" w:hAnsi="Calibri"/>
                <w:sz w:val="19"/>
              </w:rPr>
              <w:t xml:space="preserve">[Revoke a Credential and confirm failed verification]</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Must-have</w:t>
            </w:r>
          </w:p>
        </w:tc>
      </w:tr>
      <w:tr>
        <w:tc>
          <w:tcPr/>
          <w:p>
            <w:pPr>
              <w:pStyle w:val="Compact"/>
              <w:spacing w:after="20" w:before="20"/>
              <w:jc w:val="left"/>
            </w:pPr>
            <w:r>
              <w:rPr>
                <w:rFonts w:ascii="Calibri" w:hAnsi="Calibri"/>
                <w:sz w:val="19"/>
              </w:rPr>
              <w:t xml:space="preserve">4</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Nice-to-have</w:t>
            </w:r>
          </w:p>
        </w:tc>
      </w:tr>
    </w:tbl>
    <w:p>
      <w:pPr>
        <w:pStyle w:val="BodyText"/>
      </w:pPr>
      <w:r>
        <w:t xml:space="preserve">The PoV is a</w:t>
      </w:r>
      <w:r>
        <w:t xml:space="preserve"> </w:t>
      </w:r>
      <w:r>
        <w:rPr>
          <w:bCs/>
          <w:b/>
        </w:rPr>
        <w:t xml:space="preserve">Success</w:t>
      </w:r>
      <w:r>
        <w:t xml:space="preserve"> </w:t>
      </w:r>
      <w:r>
        <w:t xml:space="preserve">if all must-have criteria are met.</w:t>
      </w:r>
    </w:p>
    <w:p>
      <w:pPr>
        <w:pStyle w:val="BodyText"/>
      </w:pPr>
      <w:r>
        <w:rPr>
          <w:bCs/>
          <w:b/>
        </w:rPr>
        <w:t xml:space="preserve">A-4 Schedule.</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jc w:val="left"/>
            </w:pPr>
            <w:r>
              <w:rPr>
                <w:rFonts w:ascii="Calibri" w:hAnsi="Calibri"/>
                <w:b/>
                <w:sz w:val="19"/>
              </w:rPr>
              <w:t xml:space="preserve">Step</w:t>
            </w:r>
          </w:p>
        </w:tc>
        <w:tc>
          <w:tcPr>
            <w:shd w:val="clear" w:color="auto" w:fill="EFE3FB"/>
          </w:tcPr>
          <w:p>
            <w:pPr>
              <w:pStyle w:val="Compact"/>
              <w:spacing w:after="20" w:before="20"/>
              <w:jc w:val="left"/>
            </w:pPr>
            <w:r>
              <w:rPr>
                <w:rFonts w:ascii="Calibri" w:hAnsi="Calibri"/>
                <w:b/>
                <w:sz w:val="19"/>
              </w:rPr>
              <w:t xml:space="preserve">Date</w:t>
            </w:r>
          </w:p>
        </w:tc>
        <w:tc>
          <w:tcPr>
            <w:shd w:val="clear" w:color="auto" w:fill="EFE3FB"/>
          </w:tcPr>
          <w:p>
            <w:pPr>
              <w:pStyle w:val="Compact"/>
              <w:spacing w:after="20" w:before="20"/>
              <w:jc w:val="left"/>
            </w:pPr>
            <w:r>
              <w:rPr>
                <w:rFonts w:ascii="Calibri" w:hAnsi="Calibri"/>
                <w:b/>
                <w:sz w:val="19"/>
              </w:rPr>
              <w:t xml:space="preserve">Owner</w:t>
            </w:r>
          </w:p>
        </w:tc>
      </w:tr>
      <w:tr>
        <w:tc>
          <w:tcPr/>
          <w:p>
            <w:pPr>
              <w:pStyle w:val="Compact"/>
              <w:spacing w:after="20" w:before="20"/>
              <w:jc w:val="left"/>
            </w:pPr>
            <w:r>
              <w:rPr>
                <w:rFonts w:ascii="Calibri" w:hAnsi="Calibri"/>
                <w:sz w:val="19"/>
              </w:rPr>
              <w:t xml:space="preserve">Kick-off</w:t>
            </w:r>
          </w:p>
        </w:tc>
        <w:tc>
          <w:tcPr/>
          <w:p>
            <w:pPr>
              <w:pStyle w:val="Compact"/>
              <w:spacing w:after="20" w:before="20"/>
              <w:jc w:val="left"/>
            </w:pPr>
            <w:r>
              <w:rPr>
                <w:rFonts w:ascii="Calibri" w:hAnsi="Calibri"/>
                <w:sz w:val="19"/>
              </w:rPr>
              <w:t xml:space="preserve">[START DATE]</w:t>
            </w:r>
          </w:p>
        </w:tc>
        <w:tc>
          <w:tcPr/>
          <w:p>
            <w:pPr>
              <w:pStyle w:val="Compact"/>
              <w:spacing w:after="20" w:before="20"/>
              <w:jc w:val="left"/>
            </w:pPr>
            <w:r>
              <w:rPr>
                <w:rFonts w:ascii="Calibri" w:hAnsi="Calibri"/>
                <w:sz w:val="19"/>
              </w:rPr>
              <w:t xml:space="preserve">Both</w:t>
            </w:r>
          </w:p>
        </w:tc>
      </w:tr>
      <w:tr>
        <w:tc>
          <w:tcPr/>
          <w:p>
            <w:pPr>
              <w:pStyle w:val="Compact"/>
              <w:spacing w:after="20" w:before="20"/>
              <w:jc w:val="left"/>
            </w:pPr>
            <w:r>
              <w:rPr>
                <w:rFonts w:ascii="Calibri" w:hAnsi="Calibri"/>
                <w:sz w:val="19"/>
              </w:rPr>
              <w:t xml:space="preserve">Environment ready</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iDen2</w:t>
            </w:r>
          </w:p>
        </w:tc>
      </w:tr>
      <w:tr>
        <w:tc>
          <w:tcPr/>
          <w:p>
            <w:pPr>
              <w:pStyle w:val="Compact"/>
              <w:spacing w:after="20" w:before="20"/>
              <w:jc w:val="left"/>
            </w:pPr>
            <w:r>
              <w:rPr>
                <w:rFonts w:ascii="Calibri" w:hAnsi="Calibri"/>
                <w:sz w:val="19"/>
              </w:rPr>
              <w:t xml:space="preserve">Customer test inputs delivered</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Customer</w:t>
            </w:r>
          </w:p>
        </w:tc>
      </w:tr>
      <w:tr>
        <w:tc>
          <w:tcPr/>
          <w:p>
            <w:pPr>
              <w:pStyle w:val="Compact"/>
              <w:spacing w:after="20" w:before="20"/>
              <w:jc w:val="left"/>
            </w:pPr>
            <w:r>
              <w:rPr>
                <w:rFonts w:ascii="Calibri" w:hAnsi="Calibri"/>
                <w:sz w:val="19"/>
              </w:rPr>
              <w:t xml:space="preserve">Mid-point review</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Both</w:t>
            </w:r>
          </w:p>
        </w:tc>
      </w:tr>
      <w:tr>
        <w:tc>
          <w:tcPr/>
          <w:p>
            <w:pPr>
              <w:pStyle w:val="Compact"/>
              <w:spacing w:after="20" w:before="20"/>
              <w:jc w:val="left"/>
            </w:pPr>
            <w:r>
              <w:rPr>
                <w:rFonts w:ascii="Calibri" w:hAnsi="Calibri"/>
                <w:sz w:val="19"/>
              </w:rPr>
              <w:t xml:space="preserve">PoV ends</w:t>
            </w:r>
          </w:p>
        </w:tc>
        <w:tc>
          <w:tcPr/>
          <w:p>
            <w:pPr>
              <w:pStyle w:val="Compact"/>
              <w:spacing w:after="20" w:before="20"/>
              <w:jc w:val="left"/>
            </w:pPr>
            <w:r>
              <w:rPr>
                <w:rFonts w:ascii="Calibri" w:hAnsi="Calibri"/>
                <w:sz w:val="19"/>
              </w:rPr>
              <w:t xml:space="preserve">[END DATE]</w:t>
            </w:r>
          </w:p>
        </w:tc>
        <w:tc>
          <w:tcPr/>
          <w:p>
            <w:pPr>
              <w:pStyle w:val="Compact"/>
              <w:spacing w:after="20" w:before="20"/>
              <w:jc w:val="left"/>
            </w:pPr>
            <w:r>
              <w:rPr>
                <w:rFonts w:ascii="Calibri" w:hAnsi="Calibri"/>
                <w:sz w:val="19"/>
              </w:rPr>
              <w:t xml:space="preserve">Both</w:t>
            </w:r>
          </w:p>
        </w:tc>
      </w:tr>
      <w:tr>
        <w:tc>
          <w:tcPr/>
          <w:p>
            <w:pPr>
              <w:pStyle w:val="Compact"/>
              <w:spacing w:after="20" w:before="20"/>
              <w:jc w:val="left"/>
            </w:pPr>
            <w:r>
              <w:rPr>
                <w:rFonts w:ascii="Calibri" w:hAnsi="Calibri"/>
                <w:sz w:val="19"/>
              </w:rPr>
              <w:t xml:space="preserve">Close-out meeting</w:t>
            </w:r>
          </w:p>
        </w:tc>
        <w:tc>
          <w:tcPr/>
          <w:p>
            <w:pPr>
              <w:pStyle w:val="Compact"/>
              <w:spacing w:after="20" w:before="20"/>
              <w:jc w:val="left"/>
            </w:pPr>
            <w:r>
              <w:rPr>
                <w:rFonts w:ascii="Calibri" w:hAnsi="Calibri"/>
                <w:sz w:val="19"/>
              </w:rPr>
              <w:t xml:space="preserve">[DATE]</w:t>
            </w:r>
          </w:p>
        </w:tc>
        <w:tc>
          <w:tcPr/>
          <w:p>
            <w:pPr>
              <w:pStyle w:val="Compact"/>
              <w:spacing w:after="20" w:before="20"/>
              <w:jc w:val="left"/>
            </w:pPr>
            <w:r>
              <w:rPr>
                <w:rFonts w:ascii="Calibri" w:hAnsi="Calibri"/>
                <w:sz w:val="19"/>
              </w:rPr>
              <w:t xml:space="preserve">Both</w:t>
            </w:r>
          </w:p>
        </w:tc>
      </w:tr>
    </w:tbl>
    <w:p>
      <w:pPr>
        <w:pStyle w:val="BodyText"/>
      </w:pPr>
      <w:r>
        <w:rPr>
          <w:bCs/>
          <w:b/>
        </w:rPr>
        <w:t xml:space="preserve">A-5 Responsibilities.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iDen2</w:t>
            </w:r>
          </w:p>
        </w:tc>
        <w:tc>
          <w:tcPr>
            <w:tcW w:type="dxa" w:w="6624"/>
            <w:shd w:val="clear" w:color="auto" w:fill="EFE3FB"/>
          </w:tcPr>
          <w:p>
            <w:pPr>
              <w:pStyle w:val="Compact"/>
              <w:spacing w:after="20" w:before="20"/>
              <w:jc w:val="left"/>
            </w:pPr>
            <w:r>
              <w:rPr>
                <w:rFonts w:ascii="Calibri" w:hAnsi="Calibri"/>
                <w:b/>
                <w:sz w:val="19"/>
              </w:rPr>
              <w:t xml:space="preserve">Customer</w:t>
            </w:r>
          </w:p>
        </w:tc>
      </w:tr>
      <w:tr>
        <w:tc>
          <w:tcPr>
            <w:tcW w:type="dxa" w:w="2736"/>
          </w:tcPr>
          <w:p>
            <w:pPr>
              <w:pStyle w:val="Compact"/>
              <w:spacing w:after="20" w:before="20"/>
              <w:jc w:val="left"/>
            </w:pPr>
            <w:r>
              <w:rPr>
                <w:rFonts w:ascii="Calibri" w:hAnsi="Calibri"/>
                <w:sz w:val="19"/>
              </w:rPr>
              <w:t xml:space="preserve">[Set up environment; configure modules; up to X hours of engineering support; weekly check-in]</w:t>
            </w:r>
          </w:p>
        </w:tc>
        <w:tc>
          <w:tcPr>
            <w:tcW w:type="dxa" w:w="6624"/>
          </w:tcPr>
          <w:p>
            <w:pPr>
              <w:pStyle w:val="Compact"/>
              <w:spacing w:after="20" w:before="20"/>
              <w:jc w:val="left"/>
            </w:pPr>
            <w:r>
              <w:rPr>
                <w:rFonts w:ascii="Calibri" w:hAnsi="Calibri"/>
                <w:sz w:val="19"/>
              </w:rPr>
              <w:t xml:space="preserve">[Name a decision-maker; provide systems access and test inputs; attend check-ins; supply named reviewers]</w:t>
            </w:r>
          </w:p>
        </w:tc>
      </w:tr>
    </w:tbl>
    <w:p>
      <w:pPr>
        <w:pStyle w:val="BodyText"/>
      </w:pPr>
      <w:r>
        <w:rPr>
          <w:bCs/>
          <w:b/>
        </w:rPr>
        <w:t xml:space="preserve">A-6 Contacts.</w:t>
      </w:r>
      <w:r>
        <w:t xml:space="preserve"> </w:t>
      </w:r>
      <w:r>
        <w:t xml:space="preserve">iDen2: [NAME, EMAIL]. Customer: [NAME, EMAIL]. Decision-maker for Success sign-off: [NAME, TITLE].</w:t>
      </w:r>
    </w:p>
    <w:bookmarkEnd w:id="38"/>
    <w:bookmarkStart w:id="39" w:name="exhibit-b-conversion-offer"/>
    <w:p>
      <w:pPr>
        <w:pStyle w:val="Heading1"/>
      </w:pPr>
      <w:r>
        <w:t xml:space="preserve">EXHIBIT B: CONVERSION OFFER</w:t>
      </w:r>
    </w:p>
    <w:p>
      <w:pPr>
        <w:pStyle w:val="BlockText"/>
      </w:pPr>
      <w:r>
        <w:rPr>
          <w:bCs/>
          <w:b/>
        </w:rPr>
        <w:t xml:space="preserve">Drafting note:</w:t>
      </w:r>
      <w:r>
        <w:t xml:space="preserve"> </w:t>
      </w:r>
      <w:r>
        <w:t xml:space="preserve">Get deal approval (Template Guide, section 5) before filling in this exhibit. The prices here are a commitment for the period stated.</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Offer open until</w:t>
            </w:r>
          </w:p>
        </w:tc>
        <w:tc>
          <w:tcPr>
            <w:tcW w:type="dxa" w:w="6624"/>
          </w:tcPr>
          <w:p>
            <w:pPr>
              <w:pStyle w:val="Compact"/>
              <w:spacing w:after="20" w:before="20"/>
              <w:jc w:val="left"/>
            </w:pPr>
            <w:r>
              <w:rPr>
                <w:rFonts w:ascii="Calibri" w:hAnsi="Calibri"/>
                <w:sz w:val="19"/>
              </w:rPr>
              <w:t xml:space="preserve">[30] days after the close-out meeting, if the outcome is Success</w:t>
            </w:r>
          </w:p>
        </w:tc>
      </w:tr>
      <w:tr>
        <w:tc>
          <w:tcPr>
            <w:tcW w:type="dxa" w:w="2736"/>
            <w:shd w:val="clear" w:color="auto" w:fill="F4F5F7"/>
          </w:tcPr>
          <w:p>
            <w:pPr>
              <w:pStyle w:val="Compact"/>
              <w:spacing w:after="20" w:before="20"/>
              <w:jc w:val="left"/>
            </w:pPr>
            <w:r>
              <w:rPr>
                <w:bCs/>
                <w:rFonts w:ascii="Calibri" w:hAnsi="Calibri"/>
                <w:b/>
                <w:sz w:val="19"/>
              </w:rPr>
              <w:t xml:space="preserve">Modules and quantities</w:t>
            </w:r>
          </w:p>
        </w:tc>
        <w:tc>
          <w:tcPr>
            <w:tcW w:type="dxa" w:w="6624"/>
          </w:tcPr>
          <w:p>
            <w:pPr>
              <w:pStyle w:val="Compact"/>
              <w:spacing w:after="20" w:before="20"/>
              <w:jc w:val="left"/>
            </w:pPr>
            <w:r>
              <w:rPr>
                <w:rFonts w:ascii="Calibri" w:hAnsi="Calibri"/>
                <w:sz w:val="19"/>
              </w:rPr>
              <w:t xml:space="preserve">[Per PoV scope, with first-year quantities]</w:t>
            </w:r>
          </w:p>
        </w:tc>
      </w:tr>
      <w:tr>
        <w:tc>
          <w:tcPr>
            <w:tcW w:type="dxa" w:w="2736"/>
            <w:shd w:val="clear" w:color="auto" w:fill="F4F5F7"/>
          </w:tcPr>
          <w:p>
            <w:pPr>
              <w:pStyle w:val="Compact"/>
              <w:spacing w:after="20" w:before="20"/>
              <w:jc w:val="left"/>
            </w:pPr>
            <w:r>
              <w:rPr>
                <w:bCs/>
                <w:rFonts w:ascii="Calibri" w:hAnsi="Calibri"/>
                <w:b/>
                <w:sz w:val="19"/>
              </w:rPr>
              <w:t xml:space="preserve">Annual subscription</w:t>
            </w:r>
          </w:p>
        </w:tc>
        <w:tc>
          <w:tcPr>
            <w:tcW w:type="dxa" w:w="6624"/>
          </w:tcPr>
          <w:p>
            <w:pPr>
              <w:pStyle w:val="Compact"/>
              <w:spacing w:after="20" w:before="20"/>
              <w:jc w:val="left"/>
            </w:pPr>
            <w:r>
              <w:rPr>
                <w:rFonts w:ascii="Calibri" w:hAnsi="Calibri"/>
                <w:sz w:val="19"/>
              </w:rPr>
              <w:t xml:space="preserve">USD [AMOUNT]</w:t>
            </w:r>
          </w:p>
        </w:tc>
      </w:tr>
      <w:tr>
        <w:tc>
          <w:tcPr>
            <w:tcW w:type="dxa" w:w="2736"/>
            <w:shd w:val="clear" w:color="auto" w:fill="F4F5F7"/>
          </w:tcPr>
          <w:p>
            <w:pPr>
              <w:pStyle w:val="Compact"/>
              <w:spacing w:after="20" w:before="20"/>
              <w:jc w:val="left"/>
            </w:pPr>
            <w:r>
              <w:rPr>
                <w:bCs/>
                <w:rFonts w:ascii="Calibri" w:hAnsi="Calibri"/>
                <w:b/>
                <w:sz w:val="19"/>
              </w:rPr>
              <w:t xml:space="preserve">Implementation</w:t>
            </w:r>
          </w:p>
        </w:tc>
        <w:tc>
          <w:tcPr>
            <w:tcW w:type="dxa" w:w="6624"/>
          </w:tcPr>
          <w:p>
            <w:pPr>
              <w:pStyle w:val="Compact"/>
              <w:spacing w:after="20" w:before="20"/>
              <w:jc w:val="left"/>
            </w:pPr>
            <w:r>
              <w:rPr>
                <w:rFonts w:ascii="Calibri" w:hAnsi="Calibri"/>
                <w:sz w:val="19"/>
              </w:rPr>
              <w:t xml:space="preserve">USD [AMOUNT] under a SOW</w:t>
            </w:r>
          </w:p>
        </w:tc>
      </w:tr>
      <w:tr>
        <w:tc>
          <w:tcPr>
            <w:tcW w:type="dxa" w:w="2736"/>
            <w:shd w:val="clear" w:color="auto" w:fill="F4F5F7"/>
          </w:tcPr>
          <w:p>
            <w:pPr>
              <w:pStyle w:val="Compact"/>
              <w:spacing w:after="20" w:before="20"/>
              <w:jc w:val="left"/>
            </w:pPr>
            <w:r>
              <w:rPr>
                <w:bCs/>
                <w:rFonts w:ascii="Calibri" w:hAnsi="Calibri"/>
                <w:b/>
                <w:sz w:val="19"/>
              </w:rPr>
              <w:t xml:space="preserve">Initial term</w:t>
            </w:r>
          </w:p>
        </w:tc>
        <w:tc>
          <w:tcPr>
            <w:tcW w:type="dxa" w:w="6624"/>
          </w:tcPr>
          <w:p>
            <w:pPr>
              <w:pStyle w:val="Compact"/>
              <w:spacing w:after="20" w:before="20"/>
              <w:jc w:val="left"/>
            </w:pPr>
            <w:r>
              <w:rPr>
                <w:rFonts w:ascii="Calibri" w:hAnsi="Calibri"/>
                <w:sz w:val="19"/>
              </w:rPr>
              <w:t xml:space="preserve">[12 / 24 / 36] months</w:t>
            </w:r>
          </w:p>
        </w:tc>
      </w:tr>
      <w:tr>
        <w:tc>
          <w:tcPr>
            <w:tcW w:type="dxa" w:w="2736"/>
            <w:shd w:val="clear" w:color="auto" w:fill="F4F5F7"/>
          </w:tcPr>
          <w:p>
            <w:pPr>
              <w:pStyle w:val="Compact"/>
              <w:spacing w:after="20" w:before="20"/>
              <w:jc w:val="left"/>
            </w:pPr>
            <w:r>
              <w:rPr>
                <w:bCs/>
                <w:rFonts w:ascii="Calibri" w:hAnsi="Calibri"/>
                <w:b/>
                <w:sz w:val="19"/>
              </w:rPr>
              <w:t xml:space="preserve">PoV fee credit</w:t>
            </w:r>
          </w:p>
        </w:tc>
        <w:tc>
          <w:tcPr>
            <w:tcW w:type="dxa" w:w="6624"/>
          </w:tcPr>
          <w:p>
            <w:pPr>
              <w:pStyle w:val="Compact"/>
              <w:spacing w:after="20" w:before="20"/>
              <w:jc w:val="left"/>
            </w:pPr>
            <w:r>
              <w:rPr>
                <w:rFonts w:ascii="Calibri" w:hAnsi="Calibri"/>
                <w:sz w:val="19"/>
              </w:rPr>
              <w:t xml:space="preserve">[100]% of the PoV fee credited against first-year fees</w:t>
            </w:r>
          </w:p>
        </w:tc>
      </w:tr>
      <w:tr>
        <w:tc>
          <w:tcPr>
            <w:tcW w:type="dxa" w:w="2736"/>
            <w:shd w:val="clear" w:color="auto" w:fill="F4F5F7"/>
          </w:tcPr>
          <w:p>
            <w:pPr>
              <w:pStyle w:val="Compact"/>
              <w:spacing w:after="20" w:before="20"/>
              <w:jc w:val="left"/>
            </w:pPr>
            <w:r>
              <w:rPr>
                <w:bCs/>
                <w:rFonts w:ascii="Calibri" w:hAnsi="Calibri"/>
                <w:b/>
                <w:sz w:val="19"/>
              </w:rPr>
              <w:t xml:space="preserve">Other terms</w:t>
            </w:r>
          </w:p>
        </w:tc>
        <w:tc>
          <w:tcPr>
            <w:tcW w:type="dxa" w:w="6624"/>
          </w:tcPr>
          <w:p>
            <w:pPr>
              <w:pStyle w:val="Compact"/>
              <w:spacing w:after="20" w:before="20"/>
              <w:jc w:val="left"/>
            </w:pPr>
            <w:r>
              <w:rPr>
                <w:rFonts w:ascii="Calibri" w:hAnsi="Calibri"/>
                <w:sz w:val="19"/>
              </w:rPr>
              <w:t xml:space="preserve">iDen2’s standard MSA and Order Form</w:t>
            </w:r>
          </w:p>
        </w:tc>
      </w:tr>
    </w:tbl>
    <w:bookmarkEnd w:id="39"/>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Proof of Value Agreement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2026-10-10T22:14:56Z</dcterms:created>
  <dcterms:modified xsi:type="dcterms:W3CDTF">2026-10-10T22:14:56Z</dcterms:modified>
</cp:coreProperties>
</file>

<file path=docProps/custom.xml><?xml version="1.0" encoding="utf-8"?>
<Properties xmlns="http://schemas.openxmlformats.org/officeDocument/2006/custom-properties" xmlns:vt="http://schemas.openxmlformats.org/officeDocument/2006/docPropsVTypes"/>
</file>