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reference-and-publicity-consent"/>
    <w:p>
      <w:pPr>
        <w:pStyle w:val="Heading1"/>
      </w:pPr>
      <w:r>
        <w:t xml:space="preserve">REFERENCE AND PUBLICITY CONSENT</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Reference</w:t>
            </w:r>
          </w:p>
        </w:tc>
        <w:tc>
          <w:tcPr>
            <w:tcW w:type="dxa" w:w="6624"/>
          </w:tcPr>
          <w:p>
            <w:pPr>
              <w:pStyle w:val="Compact"/>
              <w:spacing w:after="20" w:before="20"/>
              <w:jc w:val="left"/>
            </w:pPr>
            <w:r>
              <w:rPr>
                <w:rFonts w:ascii="Calibri" w:hAnsi="Calibri"/>
                <w:sz w:val="19"/>
              </w:rPr>
              <w:t xml:space="preserve">iDen2-[CUSTOMER CODE]-REF-[YYYY]-[###]</w:t>
            </w:r>
          </w:p>
        </w:tc>
      </w:tr>
      <w:tr>
        <w:tc>
          <w:tcPr>
            <w:tcW w:type="dxa" w:w="2736"/>
            <w:shd w:val="clear" w:color="auto" w:fill="F4F5F7"/>
          </w:tcPr>
          <w:p>
            <w:pPr>
              <w:pStyle w:val="Compact"/>
              <w:spacing w:after="20" w:before="20"/>
              <w:jc w:val="left"/>
            </w:pPr>
            <w:r>
              <w:rPr>
                <w:bCs/>
                <w:rFonts w:ascii="Calibri" w:hAnsi="Calibri"/>
                <w:b/>
                <w:sz w:val="19"/>
              </w:rPr>
              <w:t xml:space="preserve">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Governing Agreement</w:t>
            </w:r>
          </w:p>
        </w:tc>
        <w:tc>
          <w:tcPr>
            <w:tcW w:type="dxa" w:w="6624"/>
          </w:tcPr>
          <w:p>
            <w:pPr>
              <w:pStyle w:val="Compact"/>
              <w:spacing w:after="20" w:before="20"/>
              <w:jc w:val="left"/>
            </w:pPr>
            <w:r>
              <w:rPr>
                <w:rFonts w:ascii="Calibri" w:hAnsi="Calibri"/>
                <w:sz w:val="19"/>
              </w:rPr>
              <w:t xml:space="preserve">MSA dated [DATE], reference [MSA REF] (Article 18)</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Investors and new customers trust named references. Ask for consent at signing, not later. Keep the permissions below narrow and easy to withdraw. Never publish a customer result, number, or quote that the customer has not approved in writing, and never publish anything about a government or regulated customer without checking with them first.</w:t>
      </w:r>
    </w:p>
    <w:bookmarkEnd w:id="23"/>
    <w:bookmarkStart w:id="24" w:name="what-the-customer-agrees-to"/>
    <w:p>
      <w:pPr>
        <w:pStyle w:val="Heading1"/>
      </w:pPr>
      <w:r>
        <w:t xml:space="preserve">1. WHAT THE CUSTOMER AGREES TO</w:t>
      </w:r>
    </w:p>
    <w:p>
      <w:pPr>
        <w:pStyle w:val="FirstParagraph"/>
      </w:pPr>
      <w:r>
        <w:t xml:space="preserve">The Customer agrees that iDen2 may do the items ticked below.</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rPr>
          <w:tblHeader w:val="true"/>
        </w:trPr>
        <w:tc>
          <w:tcPr>
            <w:tcW w:type="dxa" w:w="2736"/>
            <w:shd w:val="clear" w:color="auto" w:fill="EFE3FB"/>
          </w:tcPr>
          <w:p>
            <w:pPr>
              <w:pStyle w:val="Compact"/>
              <w:spacing w:after="20" w:before="20"/>
              <w:jc w:val="left"/>
            </w:pPr>
            <w:r>
              <w:rPr>
                <w:rFonts w:ascii="Calibri" w:hAnsi="Calibri"/>
                <w:b/>
                <w:sz w:val="19"/>
              </w:rPr>
              <w:t xml:space="preserve">☐</w:t>
            </w:r>
          </w:p>
        </w:tc>
        <w:tc>
          <w:tcPr>
            <w:tcW w:type="dxa" w:w="6624"/>
            <w:shd w:val="clear" w:color="auto" w:fill="EFE3FB"/>
          </w:tcPr>
          <w:p>
            <w:pPr>
              <w:pStyle w:val="Compact"/>
              <w:spacing w:after="20" w:before="20"/>
              <w:jc w:val="left"/>
            </w:pPr>
            <w:r>
              <w:rPr>
                <w:rFonts w:ascii="Calibri" w:hAnsi="Calibri"/>
                <w:b/>
                <w:sz w:val="19"/>
              </w:rPr>
              <w:t xml:space="preserve">Permission</w:t>
            </w:r>
          </w:p>
        </w:tc>
      </w:tr>
      <w:tr>
        <w:tc>
          <w:tcPr>
            <w:tcW w:type="dxa" w:w="2736"/>
          </w:tcPr>
          <w:p>
            <w:pPr>
              <w:pStyle w:val="Compact"/>
              <w:spacing w:after="20" w:before="20"/>
              <w:jc w:val="left"/>
            </w:pPr>
            <w:r>
              <w:rPr>
                <w:rFonts w:ascii="Calibri" w:hAnsi="Calibri"/>
                <w:sz w:val="19"/>
              </w:rPr>
              <w:t xml:space="preserve">☐</w:t>
            </w:r>
          </w:p>
        </w:tc>
        <w:tc>
          <w:tcPr>
            <w:tcW w:type="dxa" w:w="6624"/>
          </w:tcPr>
          <w:p>
            <w:pPr>
              <w:pStyle w:val="Compact"/>
              <w:spacing w:after="20" w:before="20"/>
              <w:jc w:val="left"/>
            </w:pPr>
            <w:r>
              <w:rPr>
                <w:rFonts w:ascii="Calibri" w:hAnsi="Calibri"/>
                <w:sz w:val="19"/>
              </w:rPr>
              <w:t xml:space="preserve">Name the Customer as an iDen2 customer, with its logo, on iDen2’s website, in sales and investor presentations, and in proposals</w:t>
            </w:r>
          </w:p>
        </w:tc>
      </w:tr>
      <w:tr>
        <w:tc>
          <w:tcPr>
            <w:tcW w:type="dxa" w:w="2736"/>
          </w:tcPr>
          <w:p>
            <w:pPr>
              <w:pStyle w:val="Compact"/>
              <w:spacing w:after="20" w:before="20"/>
              <w:jc w:val="left"/>
            </w:pPr>
            <w:r>
              <w:rPr>
                <w:rFonts w:ascii="Calibri" w:hAnsi="Calibri"/>
                <w:sz w:val="19"/>
              </w:rPr>
              <w:t xml:space="preserve">☐</w:t>
            </w:r>
          </w:p>
        </w:tc>
        <w:tc>
          <w:tcPr>
            <w:tcW w:type="dxa" w:w="6624"/>
          </w:tcPr>
          <w:p>
            <w:pPr>
              <w:pStyle w:val="Compact"/>
              <w:spacing w:after="20" w:before="20"/>
              <w:jc w:val="left"/>
            </w:pPr>
            <w:r>
              <w:rPr>
                <w:rFonts w:ascii="Calibri" w:hAnsi="Calibri"/>
                <w:sz w:val="19"/>
              </w:rPr>
              <w:t xml:space="preserve">Identify the Customer in a press release (the Customer must approve the text first)</w:t>
            </w:r>
          </w:p>
        </w:tc>
      </w:tr>
      <w:tr>
        <w:tc>
          <w:tcPr>
            <w:tcW w:type="dxa" w:w="2736"/>
          </w:tcPr>
          <w:p>
            <w:pPr>
              <w:pStyle w:val="Compact"/>
              <w:spacing w:after="20" w:before="20"/>
              <w:jc w:val="left"/>
            </w:pPr>
            <w:r>
              <w:rPr>
                <w:rFonts w:ascii="Calibri" w:hAnsi="Calibri"/>
                <w:sz w:val="19"/>
              </w:rPr>
              <w:t xml:space="preserve">☐</w:t>
            </w:r>
          </w:p>
        </w:tc>
        <w:tc>
          <w:tcPr>
            <w:tcW w:type="dxa" w:w="6624"/>
          </w:tcPr>
          <w:p>
            <w:pPr>
              <w:pStyle w:val="Compact"/>
              <w:spacing w:after="20" w:before="20"/>
              <w:jc w:val="left"/>
            </w:pPr>
            <w:r>
              <w:rPr>
                <w:rFonts w:ascii="Calibri" w:hAnsi="Calibri"/>
                <w:sz w:val="19"/>
              </w:rPr>
              <w:t xml:space="preserve">Publish a written case study (the Customer must approve the text and any numbers first)</w:t>
            </w:r>
          </w:p>
        </w:tc>
      </w:tr>
      <w:tr>
        <w:tc>
          <w:tcPr>
            <w:tcW w:type="dxa" w:w="2736"/>
          </w:tcPr>
          <w:p>
            <w:pPr>
              <w:pStyle w:val="Compact"/>
              <w:spacing w:after="20" w:before="20"/>
              <w:jc w:val="left"/>
            </w:pPr>
            <w:r>
              <w:rPr>
                <w:rFonts w:ascii="Calibri" w:hAnsi="Calibri"/>
                <w:sz w:val="19"/>
              </w:rPr>
              <w:t xml:space="preserve">☐</w:t>
            </w:r>
          </w:p>
        </w:tc>
        <w:tc>
          <w:tcPr>
            <w:tcW w:type="dxa" w:w="6624"/>
          </w:tcPr>
          <w:p>
            <w:pPr>
              <w:pStyle w:val="Compact"/>
              <w:spacing w:after="20" w:before="20"/>
              <w:jc w:val="left"/>
            </w:pPr>
            <w:r>
              <w:rPr>
                <w:rFonts w:ascii="Calibri" w:hAnsi="Calibri"/>
                <w:sz w:val="19"/>
              </w:rPr>
              <w:t xml:space="preserve">Use an approved quote from [NAME, TITLE]</w:t>
            </w:r>
          </w:p>
        </w:tc>
      </w:tr>
      <w:tr>
        <w:tc>
          <w:tcPr>
            <w:tcW w:type="dxa" w:w="2736"/>
          </w:tcPr>
          <w:p>
            <w:pPr>
              <w:pStyle w:val="Compact"/>
              <w:spacing w:after="20" w:before="20"/>
              <w:jc w:val="left"/>
            </w:pPr>
            <w:r>
              <w:rPr>
                <w:rFonts w:ascii="Calibri" w:hAnsi="Calibri"/>
                <w:sz w:val="19"/>
              </w:rPr>
              <w:t xml:space="preserve">☐</w:t>
            </w:r>
          </w:p>
        </w:tc>
        <w:tc>
          <w:tcPr>
            <w:tcW w:type="dxa" w:w="6624"/>
          </w:tcPr>
          <w:p>
            <w:pPr>
              <w:pStyle w:val="Compact"/>
              <w:spacing w:after="20" w:before="20"/>
              <w:jc w:val="left"/>
            </w:pPr>
            <w:r>
              <w:rPr>
                <w:rFonts w:ascii="Calibri" w:hAnsi="Calibri"/>
                <w:sz w:val="19"/>
              </w:rPr>
              <w:t xml:space="preserve">Have the Customer’s [NAME, TITLE] act as a reference by phone or video for up to [3] prospective customers or investors per year</w:t>
            </w:r>
          </w:p>
        </w:tc>
      </w:tr>
      <w:tr>
        <w:tc>
          <w:tcPr>
            <w:tcW w:type="dxa" w:w="2736"/>
          </w:tcPr>
          <w:p>
            <w:pPr>
              <w:pStyle w:val="Compact"/>
              <w:spacing w:after="20" w:before="20"/>
              <w:jc w:val="left"/>
            </w:pPr>
            <w:r>
              <w:rPr>
                <w:rFonts w:ascii="Calibri" w:hAnsi="Calibri"/>
                <w:sz w:val="19"/>
              </w:rPr>
              <w:t xml:space="preserve">☐</w:t>
            </w:r>
          </w:p>
        </w:tc>
        <w:tc>
          <w:tcPr>
            <w:tcW w:type="dxa" w:w="6624"/>
          </w:tcPr>
          <w:p>
            <w:pPr>
              <w:pStyle w:val="Compact"/>
              <w:spacing w:after="20" w:before="20"/>
              <w:jc w:val="left"/>
            </w:pPr>
            <w:r>
              <w:rPr>
                <w:rFonts w:ascii="Calibri" w:hAnsi="Calibri"/>
                <w:sz w:val="19"/>
              </w:rPr>
              <w:t xml:space="preserve">Present together at a conference or webinar (dates and content to be agreed)</w:t>
            </w:r>
          </w:p>
        </w:tc>
      </w:tr>
    </w:tbl>
    <w:bookmarkEnd w:id="24"/>
    <w:bookmarkStart w:id="25" w:name="rules"/>
    <w:p>
      <w:pPr>
        <w:pStyle w:val="Heading1"/>
      </w:pPr>
      <w:r>
        <w:t xml:space="preserve">2. RULES</w:t>
      </w:r>
    </w:p>
    <w:p>
      <w:pPr>
        <w:numPr>
          <w:ilvl w:val="0"/>
          <w:numId w:val="1001"/>
        </w:numPr>
        <w:pStyle w:val="Compact"/>
      </w:pPr>
      <w:r>
        <w:rPr>
          <w:bCs/>
          <w:b/>
        </w:rPr>
        <w:t xml:space="preserve">Approval.</w:t>
      </w:r>
      <w:r>
        <w:t xml:space="preserve"> </w:t>
      </w:r>
      <w:r>
        <w:t xml:space="preserve">iDen2 will send the Customer any press release, case study, or quote for written approval (email is enough) before use. The Customer will reply within [10] business days. Approved material may be used for [24] months.</w:t>
      </w:r>
    </w:p>
    <w:p>
      <w:pPr>
        <w:numPr>
          <w:ilvl w:val="0"/>
          <w:numId w:val="1001"/>
        </w:numPr>
        <w:pStyle w:val="Compact"/>
      </w:pPr>
      <w:r>
        <w:rPr>
          <w:bCs/>
          <w:b/>
        </w:rPr>
        <w:t xml:space="preserve">Brand use.</w:t>
      </w:r>
      <w:r>
        <w:t xml:space="preserve"> </w:t>
      </w:r>
      <w:r>
        <w:t xml:space="preserve">iDen2 will use the Customer’s name and logo as supplied by the Customer, without changes, and following any brand rules the Customer sends.</w:t>
      </w:r>
    </w:p>
    <w:p>
      <w:pPr>
        <w:numPr>
          <w:ilvl w:val="0"/>
          <w:numId w:val="1001"/>
        </w:numPr>
        <w:pStyle w:val="Compact"/>
      </w:pPr>
      <w:r>
        <w:rPr>
          <w:bCs/>
          <w:b/>
        </w:rPr>
        <w:t xml:space="preserve">No confidential information.</w:t>
      </w:r>
      <w:r>
        <w:t xml:space="preserve"> </w:t>
      </w:r>
      <w:r>
        <w:t xml:space="preserve">iDen2 will not disclose the Customer’s Confidential Information, Customer Data, or any detail of the Customer’s security or systems.</w:t>
      </w:r>
    </w:p>
    <w:p>
      <w:pPr>
        <w:numPr>
          <w:ilvl w:val="0"/>
          <w:numId w:val="1001"/>
        </w:numPr>
        <w:pStyle w:val="Compact"/>
      </w:pPr>
      <w:r>
        <w:rPr>
          <w:bCs/>
          <w:b/>
        </w:rPr>
        <w:t xml:space="preserve">Withdrawal.</w:t>
      </w:r>
      <w:r>
        <w:t xml:space="preserve"> </w:t>
      </w:r>
      <w:r>
        <w:t xml:space="preserve">The Customer may withdraw this consent at any time by email to legal@iden2.com. iDen2 will stop new uses within 30 days and will remove the Customer from its website within 30 days. iDen2 does not have to recall materials already printed or given to third parties.</w:t>
      </w:r>
    </w:p>
    <w:p>
      <w:pPr>
        <w:numPr>
          <w:ilvl w:val="0"/>
          <w:numId w:val="1001"/>
        </w:numPr>
        <w:pStyle w:val="Compact"/>
      </w:pPr>
      <w:r>
        <w:rPr>
          <w:bCs/>
          <w:b/>
        </w:rPr>
        <w:t xml:space="preserve">No payment.</w:t>
      </w:r>
      <w:r>
        <w:t xml:space="preserve"> </w:t>
      </w:r>
      <w:r>
        <w:t xml:space="preserve">Neither party pays the other for this consent.</w:t>
      </w:r>
    </w:p>
    <w:p>
      <w:pPr>
        <w:numPr>
          <w:ilvl w:val="0"/>
          <w:numId w:val="1001"/>
        </w:numPr>
        <w:pStyle w:val="Compact"/>
      </w:pPr>
      <w:r>
        <w:rPr>
          <w:bCs/>
          <w:b/>
        </w:rPr>
        <w:t xml:space="preserve">Customer’s name.</w:t>
      </w:r>
      <w:r>
        <w:t xml:space="preserve"> </w:t>
      </w:r>
      <w:r>
        <w:t xml:space="preserve">The Customer keeps all rights in its name and marks.</w:t>
      </w:r>
    </w:p>
    <w:p>
      <w:pPr>
        <w:numPr>
          <w:ilvl w:val="0"/>
          <w:numId w:val="1001"/>
        </w:numPr>
        <w:pStyle w:val="Compact"/>
      </w:pPr>
      <w:r>
        <w:rPr>
          <w:bCs/>
          <w:b/>
        </w:rPr>
        <w:t xml:space="preserve">Law.</w:t>
      </w:r>
      <w:r>
        <w:t xml:space="preserve"> </w:t>
      </w:r>
      <w:r>
        <w:t xml:space="preserve">The MSA terms on governing law and disputes apply.</w:t>
      </w:r>
    </w:p>
    <w:bookmarkEnd w:id="25"/>
    <w:bookmarkStart w:id="26"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[CUSTOMER LEGAL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bookmarkEnd w:id="26"/>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Reference and Publicity Consent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2026-10-10T22:14:58Z</dcterms:created>
  <dcterms:modified xsi:type="dcterms:W3CDTF">2026-10-10T22:14:58Z</dcterms:modified>
</cp:coreProperties>
</file>

<file path=docProps/custom.xml><?xml version="1.0" encoding="utf-8"?>
<Properties xmlns="http://schemas.openxmlformats.org/officeDocument/2006/custom-properties" xmlns:vt="http://schemas.openxmlformats.org/officeDocument/2006/docPropsVTypes"/>
</file>