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security-addendum"/>
    <w:p>
      <w:pPr>
        <w:pStyle w:val="Heading1"/>
      </w:pPr>
      <w:r>
        <w:t xml:space="preserve">SECURITY ADDENDUM</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CODE]-SEC-[YYYY]-[###]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Forms part of</w:t>
            </w:r>
          </w:p>
        </w:tc>
        <w:tc>
          <w:tcPr>
            <w:tcW w:type="dxa" w:w="6624"/>
          </w:tcPr>
          <w:p>
            <w:pPr>
              <w:pStyle w:val="Compact"/>
              <w:spacing w:after="20" w:before="20"/>
              <w:jc w:val="left"/>
            </w:pPr>
            <w:r>
              <w:rPr>
                <w:rFonts w:ascii="Calibri" w:hAnsi="Calibri"/>
                <w:sz w:val="19"/>
              </w:rPr>
              <w:t xml:space="preserve">MSA dated [DATE], reference [MSA REF]</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This document is a contract promise. Every sentence must be true on the day you sign, and stay true. Before using it, have the CTO mark each control as In place, Partly in place, or Planned. Delete or reword anything that is not In place. Do not claim a certification (SOC 2, ISO 27001, FedRAMP, or similar) unless iDen2 holds it today. Items in [square brackets] are options to keep only if true. Security questionnaires from customers often get answered inconsistently with this document, so answer them from this text.</w:t>
      </w:r>
    </w:p>
    <w:bookmarkEnd w:id="23"/>
    <w:bookmarkStart w:id="24" w:name="purpose"/>
    <w:p>
      <w:pPr>
        <w:pStyle w:val="Heading1"/>
      </w:pPr>
      <w:r>
        <w:t xml:space="preserve">1. PURPOSE</w:t>
      </w:r>
    </w:p>
    <w:p>
      <w:pPr>
        <w:pStyle w:val="FirstParagraph"/>
      </w:pPr>
      <w:r>
        <w:t xml:space="preserve">This Addendum describes the security measures iDen2 applies to the Platform and to Customer Data. iDen2 may improve these measures over time, but will not lower the overall level of protection during the Subscription Term.</w:t>
      </w:r>
    </w:p>
    <w:bookmarkEnd w:id="24"/>
    <w:bookmarkStart w:id="25" w:name="governance"/>
    <w:p>
      <w:pPr>
        <w:pStyle w:val="Heading1"/>
      </w:pPr>
      <w:r>
        <w:t xml:space="preserve">2. GOVERNANCE</w:t>
      </w:r>
    </w:p>
    <w:p>
      <w:pPr>
        <w:pStyle w:val="FirstParagraph"/>
      </w:pPr>
      <w:r>
        <w:rPr>
          <w:bCs/>
          <w:b/>
        </w:rPr>
        <w:t xml:space="preserve">2.1 Security program.</w:t>
      </w:r>
      <w:r>
        <w:t xml:space="preserve"> </w:t>
      </w:r>
      <w:r>
        <w:t xml:space="preserve">iDen2 keeps a written information security program, with a named person responsible for security [Chief Technology Officer or designate], reviewed at least once a year.</w:t>
      </w:r>
    </w:p>
    <w:p>
      <w:pPr>
        <w:pStyle w:val="BodyText"/>
      </w:pPr>
      <w:r>
        <w:rPr>
          <w:bCs/>
          <w:b/>
        </w:rPr>
        <w:t xml:space="preserve">2.2 Policies.</w:t>
      </w:r>
      <w:r>
        <w:t xml:space="preserve"> </w:t>
      </w:r>
      <w:r>
        <w:t xml:space="preserve">iDen2 keeps written policies covering access control, acceptable use, secure development, incident response, vendor management, and business continuity, reviewed at least once a year.</w:t>
      </w:r>
    </w:p>
    <w:p>
      <w:pPr>
        <w:pStyle w:val="BodyText"/>
      </w:pPr>
      <w:r>
        <w:rPr>
          <w:bCs/>
          <w:b/>
        </w:rPr>
        <w:t xml:space="preserve">2.3 Certifications and audits.</w:t>
      </w:r>
      <w:r>
        <w:t xml:space="preserve"> </w:t>
      </w:r>
      <w:r>
        <w:t xml:space="preserve">[iDen2 holds: [SOC 2 Type II / ISO 27001 / OTHER], most recent report dated [DATE]. iDen2 will give a summary under NDA on request.] [OR: iDen2 does not currently hold a third-party security certification. It follows [FRAMEWORK, e.g., NIST CSF] and will share its latest independent penetration test summary under NDA on request.]</w:t>
      </w:r>
    </w:p>
    <w:bookmarkEnd w:id="25"/>
    <w:bookmarkStart w:id="26" w:name="personnel"/>
    <w:p>
      <w:pPr>
        <w:pStyle w:val="Heading1"/>
      </w:pPr>
      <w:r>
        <w:t xml:space="preserve">3. PERSONNEL</w:t>
      </w:r>
    </w:p>
    <w:p>
      <w:pPr>
        <w:pStyle w:val="FirstParagraph"/>
      </w:pPr>
      <w:r>
        <w:rPr>
          <w:bCs/>
          <w:b/>
        </w:rPr>
        <w:t xml:space="preserve">3.1</w:t>
      </w:r>
      <w:r>
        <w:t xml:space="preserve"> </w:t>
      </w:r>
      <w:r>
        <w:t xml:space="preserve">iDen2 screens personnel with access to Customer Data, to the extent the law allows, and binds them to confidentiality duties.</w:t>
      </w:r>
    </w:p>
    <w:p>
      <w:pPr>
        <w:pStyle w:val="BodyText"/>
      </w:pPr>
      <w:r>
        <w:rPr>
          <w:bCs/>
          <w:b/>
        </w:rPr>
        <w:t xml:space="preserve">3.2</w:t>
      </w:r>
      <w:r>
        <w:t xml:space="preserve"> </w:t>
      </w:r>
      <w:r>
        <w:t xml:space="preserve">Personnel get security awareness training when hired and at least once a year.</w:t>
      </w:r>
    </w:p>
    <w:bookmarkEnd w:id="26"/>
    <w:bookmarkStart w:id="27" w:name="access-control"/>
    <w:p>
      <w:pPr>
        <w:pStyle w:val="Heading1"/>
      </w:pPr>
      <w:r>
        <w:t xml:space="preserve">4. ACCESS CONTROL</w:t>
      </w:r>
    </w:p>
    <w:p>
      <w:pPr>
        <w:pStyle w:val="FirstParagraph"/>
      </w:pPr>
      <w:r>
        <w:rPr>
          <w:bCs/>
          <w:b/>
        </w:rPr>
        <w:t xml:space="preserve">4.1</w:t>
      </w:r>
      <w:r>
        <w:t xml:space="preserve"> </w:t>
      </w:r>
      <w:r>
        <w:t xml:space="preserve">Access to production systems and Customer Data follows least privilege and is limited to people who need it for their role.</w:t>
      </w:r>
    </w:p>
    <w:p>
      <w:pPr>
        <w:pStyle w:val="BodyText"/>
      </w:pPr>
      <w:r>
        <w:rPr>
          <w:bCs/>
          <w:b/>
        </w:rPr>
        <w:t xml:space="preserve">4.2</w:t>
      </w:r>
      <w:r>
        <w:t xml:space="preserve"> </w:t>
      </w:r>
      <w:r>
        <w:t xml:space="preserve">iDen2 requires multi-factor authentication for administrative and remote access to production systems.</w:t>
      </w:r>
    </w:p>
    <w:p>
      <w:pPr>
        <w:pStyle w:val="BodyText"/>
      </w:pPr>
      <w:r>
        <w:rPr>
          <w:bCs/>
          <w:b/>
        </w:rPr>
        <w:t xml:space="preserve">4.3</w:t>
      </w:r>
      <w:r>
        <w:t xml:space="preserve"> </w:t>
      </w:r>
      <w:r>
        <w:t xml:space="preserve">Access is reviewed at least [quarterly] and removed promptly when a person leaves or changes role.</w:t>
      </w:r>
    </w:p>
    <w:p>
      <w:pPr>
        <w:pStyle w:val="BodyText"/>
      </w:pPr>
      <w:r>
        <w:rPr>
          <w:bCs/>
          <w:b/>
        </w:rPr>
        <w:t xml:space="preserve">4.4 Customer access.</w:t>
      </w:r>
      <w:r>
        <w:t xml:space="preserve"> </w:t>
      </w:r>
      <w:r>
        <w:t xml:space="preserve">The Platform supports role-based access controls for the Customer’s administrators. The Customer is responsible for setting its roles and for protecting its own accounts and keys.</w:t>
      </w:r>
    </w:p>
    <w:bookmarkEnd w:id="27"/>
    <w:bookmarkStart w:id="28" w:name="encryption-and-key-management"/>
    <w:p>
      <w:pPr>
        <w:pStyle w:val="Heading1"/>
      </w:pPr>
      <w:r>
        <w:t xml:space="preserve">5. ENCRYPTION AND KEY MANAGEMENT</w:t>
      </w:r>
    </w:p>
    <w:p>
      <w:pPr>
        <w:pStyle w:val="FirstParagraph"/>
      </w:pPr>
      <w:r>
        <w:rPr>
          <w:bCs/>
          <w:b/>
        </w:rPr>
        <w:t xml:space="preserve">5.1 In transit.</w:t>
      </w:r>
      <w:r>
        <w:t xml:space="preserve"> </w:t>
      </w:r>
      <w:r>
        <w:t xml:space="preserve">Customer Data is encrypted in transit over public networks using TLS [1.2 or higher].</w:t>
      </w:r>
    </w:p>
    <w:p>
      <w:pPr>
        <w:pStyle w:val="BodyText"/>
      </w:pPr>
      <w:r>
        <w:rPr>
          <w:bCs/>
          <w:b/>
        </w:rPr>
        <w:t xml:space="preserve">5.2 At rest.</w:t>
      </w:r>
      <w:r>
        <w:t xml:space="preserve"> </w:t>
      </w:r>
      <w:r>
        <w:t xml:space="preserve">Customer Data in production storage and backups is encrypted at rest using industry-standard algorithms [AES-256 or equivalent].</w:t>
      </w:r>
    </w:p>
    <w:p>
      <w:pPr>
        <w:pStyle w:val="BodyText"/>
      </w:pPr>
      <w:r>
        <w:rPr>
          <w:bCs/>
          <w:b/>
        </w:rPr>
        <w:t xml:space="preserve">5.3 Signing keys and key custody.</w:t>
      </w:r>
      <w:r>
        <w:t xml:space="preserve"> </w:t>
      </w:r>
      <w:r>
        <w:t xml:space="preserve">Issuer signing keys and root keys are protected as the Order Form’s custody model states. [Where iDen2 holds keys, they are stored in a hardware security module or an equivalent protected key service, access to them is restricted and logged, and they are not exported in plain form.] The Customer is responsible for keys that it holds (MSA Section 5.4).</w:t>
      </w:r>
    </w:p>
    <w:bookmarkEnd w:id="28"/>
    <w:bookmarkStart w:id="29" w:name="network-and-infrastructure-security"/>
    <w:p>
      <w:pPr>
        <w:pStyle w:val="Heading1"/>
      </w:pPr>
      <w:r>
        <w:t xml:space="preserve">6. NETWORK AND INFRASTRUCTURE SECURITY</w:t>
      </w:r>
    </w:p>
    <w:p>
      <w:pPr>
        <w:pStyle w:val="FirstParagraph"/>
      </w:pPr>
      <w:r>
        <w:rPr>
          <w:bCs/>
          <w:b/>
        </w:rPr>
        <w:t xml:space="preserve">6.1</w:t>
      </w:r>
      <w:r>
        <w:t xml:space="preserve"> </w:t>
      </w:r>
      <w:r>
        <w:t xml:space="preserve">Production systems are hosted with [CLOUD PROVIDER] in the region named in the Order Form. The provider’s physical security controls apply to the data centers.</w:t>
      </w:r>
    </w:p>
    <w:p>
      <w:pPr>
        <w:pStyle w:val="BodyText"/>
      </w:pPr>
      <w:r>
        <w:rPr>
          <w:bCs/>
          <w:b/>
        </w:rPr>
        <w:t xml:space="preserve">6.2</w:t>
      </w:r>
      <w:r>
        <w:t xml:space="preserve"> </w:t>
      </w:r>
      <w:r>
        <w:t xml:space="preserve">iDen2 separates production from development and test environments, and does not use production Customer Data in development or test.</w:t>
      </w:r>
    </w:p>
    <w:p>
      <w:pPr>
        <w:pStyle w:val="BodyText"/>
      </w:pPr>
      <w:r>
        <w:rPr>
          <w:bCs/>
          <w:b/>
        </w:rPr>
        <w:t xml:space="preserve">6.3</w:t>
      </w:r>
      <w:r>
        <w:t xml:space="preserve"> </w:t>
      </w:r>
      <w:r>
        <w:t xml:space="preserve">iDen2 uses firewalls or equivalent network controls, and limits public exposure to the services that need it.</w:t>
      </w:r>
    </w:p>
    <w:bookmarkEnd w:id="29"/>
    <w:bookmarkStart w:id="30" w:name="application-and-development-security"/>
    <w:p>
      <w:pPr>
        <w:pStyle w:val="Heading1"/>
      </w:pPr>
      <w:r>
        <w:t xml:space="preserve">7. APPLICATION AND DEVELOPMENT SECURITY</w:t>
      </w:r>
    </w:p>
    <w:p>
      <w:pPr>
        <w:pStyle w:val="FirstParagraph"/>
      </w:pPr>
      <w:r>
        <w:rPr>
          <w:bCs/>
          <w:b/>
        </w:rPr>
        <w:t xml:space="preserve">7.1</w:t>
      </w:r>
      <w:r>
        <w:t xml:space="preserve"> </w:t>
      </w:r>
      <w:r>
        <w:t xml:space="preserve">iDen2 follows a secure development process, including code review, dependency scanning, and testing before release.</w:t>
      </w:r>
    </w:p>
    <w:p>
      <w:pPr>
        <w:pStyle w:val="BodyText"/>
      </w:pPr>
      <w:r>
        <w:rPr>
          <w:bCs/>
          <w:b/>
        </w:rPr>
        <w:t xml:space="preserve">7.2</w:t>
      </w:r>
      <w:r>
        <w:t xml:space="preserve"> </w:t>
      </w:r>
      <w:r>
        <w:t xml:space="preserve">iDen2 uses [automated dependency and container scanning] and tracks open-source components.</w:t>
      </w:r>
    </w:p>
    <w:p>
      <w:pPr>
        <w:pStyle w:val="BodyText"/>
      </w:pPr>
      <w:r>
        <w:rPr>
          <w:bCs/>
          <w:b/>
        </w:rPr>
        <w:t xml:space="preserve">7.3</w:t>
      </w:r>
      <w:r>
        <w:t xml:space="preserve"> </w:t>
      </w:r>
      <w:r>
        <w:t xml:space="preserve">iDen2 has an independent penetration test of the Platform performed at least [annually] and fixes confirmed critical and high findings within a time based on risk [critical: [30] days; high: [60] days].</w:t>
      </w:r>
    </w:p>
    <w:bookmarkEnd w:id="30"/>
    <w:bookmarkStart w:id="31" w:name="logging-and-monitoring"/>
    <w:p>
      <w:pPr>
        <w:pStyle w:val="Heading1"/>
      </w:pPr>
      <w:r>
        <w:t xml:space="preserve">8. LOGGING AND MONITORING</w:t>
      </w:r>
    </w:p>
    <w:p>
      <w:pPr>
        <w:pStyle w:val="FirstParagraph"/>
      </w:pPr>
      <w:r>
        <w:rPr>
          <w:bCs/>
          <w:b/>
        </w:rPr>
        <w:t xml:space="preserve">8.1</w:t>
      </w:r>
      <w:r>
        <w:t xml:space="preserve"> </w:t>
      </w:r>
      <w:r>
        <w:t xml:space="preserve">iDen2 logs security-relevant events on production systems (for example authentication, administrative actions, and access to key services) and protects logs from tampering.</w:t>
      </w:r>
    </w:p>
    <w:p>
      <w:pPr>
        <w:pStyle w:val="BodyText"/>
      </w:pPr>
      <w:r>
        <w:rPr>
          <w:bCs/>
          <w:b/>
        </w:rPr>
        <w:t xml:space="preserve">8.2</w:t>
      </w:r>
      <w:r>
        <w:t xml:space="preserve"> </w:t>
      </w:r>
      <w:r>
        <w:t xml:space="preserve">iDen2 monitors production systems for availability and unusual activity, and keeps security logs for at least [12] months.</w:t>
      </w:r>
    </w:p>
    <w:bookmarkEnd w:id="31"/>
    <w:bookmarkStart w:id="32" w:name="vulnerability-management"/>
    <w:p>
      <w:pPr>
        <w:pStyle w:val="Heading1"/>
      </w:pPr>
      <w:r>
        <w:t xml:space="preserve">9. VULNERABILITY MANAGEMENT</w:t>
      </w:r>
    </w:p>
    <w:p>
      <w:pPr>
        <w:pStyle w:val="FirstParagraph"/>
      </w:pPr>
      <w:r>
        <w:t xml:space="preserve">iDen2 scans for vulnerabilities on a regular schedule, patches according to risk, and has a process to receive security reports at [security@iden2.com — CONFIRM ADDRESS]. The Customer must not run its own security tests against the production Platform without iDen2’s written consent. iDen2 will consider a request for a joint test in a staging environment.</w:t>
      </w:r>
    </w:p>
    <w:bookmarkEnd w:id="32"/>
    <w:bookmarkStart w:id="33" w:name="incident-response"/>
    <w:p>
      <w:pPr>
        <w:pStyle w:val="Heading1"/>
      </w:pPr>
      <w:r>
        <w:t xml:space="preserve">10. INCIDENT RESPONSE</w:t>
      </w:r>
    </w:p>
    <w:p>
      <w:pPr>
        <w:pStyle w:val="FirstParagraph"/>
      </w:pPr>
      <w:r>
        <w:rPr>
          <w:bCs/>
          <w:b/>
        </w:rPr>
        <w:t xml:space="preserve">10.1</w:t>
      </w:r>
      <w:r>
        <w:t xml:space="preserve"> </w:t>
      </w:r>
      <w:r>
        <w:t xml:space="preserve">iDen2 keeps an incident response plan and tests it at least [once a year].</w:t>
      </w:r>
    </w:p>
    <w:p>
      <w:pPr>
        <w:pStyle w:val="BodyText"/>
      </w:pPr>
      <w:r>
        <w:rPr>
          <w:bCs/>
          <w:b/>
        </w:rPr>
        <w:t xml:space="preserve">10.2</w:t>
      </w:r>
      <w:r>
        <w:t xml:space="preserve"> </w:t>
      </w:r>
      <w:r>
        <w:t xml:space="preserve">iDen2 will notify the Customer of Security Incidents as MSA Section 10.3 and the Data Processing Addendum say.</w:t>
      </w:r>
    </w:p>
    <w:p>
      <w:pPr>
        <w:pStyle w:val="BodyText"/>
      </w:pPr>
      <w:r>
        <w:rPr>
          <w:bCs/>
          <w:b/>
        </w:rPr>
        <w:t xml:space="preserve">10.3</w:t>
      </w:r>
      <w:r>
        <w:t xml:space="preserve"> </w:t>
      </w:r>
      <w:r>
        <w:t xml:space="preserve">After a Security Incident, iDen2 will work out the cause and tell the Customer the steps taken to prevent it from happening again.</w:t>
      </w:r>
    </w:p>
    <w:bookmarkEnd w:id="33"/>
    <w:bookmarkStart w:id="34" w:name="business-continuity-and-backup"/>
    <w:p>
      <w:pPr>
        <w:pStyle w:val="Heading1"/>
      </w:pPr>
      <w:r>
        <w:t xml:space="preserve">11. BUSINESS CONTINUITY AND BACKUP</w:t>
      </w:r>
    </w:p>
    <w:p>
      <w:pPr>
        <w:pStyle w:val="FirstParagraph"/>
      </w:pPr>
      <w:r>
        <w:t xml:space="preserve">iDen2 keeps a business continuity and disaster recovery plan. Backup and recovery targets are in the Service Levels and Support Policy. iDen2 tests restoration at least [once a year].</w:t>
      </w:r>
    </w:p>
    <w:bookmarkEnd w:id="34"/>
    <w:bookmarkStart w:id="35" w:name="vendor-management"/>
    <w:p>
      <w:pPr>
        <w:pStyle w:val="Heading1"/>
      </w:pPr>
      <w:r>
        <w:t xml:space="preserve">12. VENDOR MANAGEMENT</w:t>
      </w:r>
    </w:p>
    <w:p>
      <w:pPr>
        <w:pStyle w:val="FirstParagraph"/>
      </w:pPr>
      <w:r>
        <w:t xml:space="preserve">iDen2 reviews the security of Sub-processors and key vendors before using them, and puts security and data protection duties in its contracts with them.</w:t>
      </w:r>
    </w:p>
    <w:bookmarkEnd w:id="35"/>
    <w:bookmarkStart w:id="36" w:name="data-deletion"/>
    <w:p>
      <w:pPr>
        <w:pStyle w:val="Heading1"/>
      </w:pPr>
      <w:r>
        <w:t xml:space="preserve">13. DATA DELETION</w:t>
      </w:r>
    </w:p>
    <w:p>
      <w:pPr>
        <w:pStyle w:val="FirstParagraph"/>
      </w:pPr>
      <w:r>
        <w:t xml:space="preserve">When data is deleted under the MSA, iDen2 will remove it from production systems and from backups on their normal rotation, using methods suitable to the storage type.</w:t>
      </w:r>
    </w:p>
    <w:bookmarkEnd w:id="36"/>
    <w:bookmarkStart w:id="37" w:name="customer-responsibilities"/>
    <w:p>
      <w:pPr>
        <w:pStyle w:val="Heading1"/>
      </w:pPr>
      <w:r>
        <w:t xml:space="preserve">14. CUSTOMER RESPONSIBILITIES</w:t>
      </w:r>
    </w:p>
    <w:p>
      <w:pPr>
        <w:pStyle w:val="FirstParagraph"/>
      </w:pPr>
      <w:r>
        <w:t xml:space="preserve">The Customer will: (a) secure its own systems, devices, accounts, and keys; (b) use strong authentication for its users; (c) promptly remove access for people who leave; (d) set up the Platform’s controls to match its own risk; (e) tell iDen2 promptly of any suspected compromise of its accounts or keys; and (f) not put data into the Platform that the MSA does not allow.</w:t>
      </w:r>
    </w:p>
    <w:bookmarkEnd w:id="37"/>
    <w:bookmarkStart w:id="38" w:name="contact"/>
    <w:p>
      <w:pPr>
        <w:pStyle w:val="Heading1"/>
      </w:pPr>
      <w:r>
        <w:t xml:space="preserve">15. CONTACT</w:t>
      </w:r>
    </w:p>
    <w:p>
      <w:pPr>
        <w:pStyle w:val="FirstParagraph"/>
      </w:pPr>
      <w:r>
        <w:t xml:space="preserve">Security questions: [security@iden2.com — CONFIRM]. Legal notices: legal@iden2.com.</w:t>
      </w:r>
    </w:p>
    <w:bookmarkEnd w:id="38"/>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Security Addendum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