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463040" cy="254969"/>
            <wp:effectExtent b="0" l="0" r="0" t="0"/>
            <wp:docPr descr="" title="" id="21" name="Picture"/>
            <a:graphic>
              <a:graphicData uri="http://schemas.openxmlformats.org/drawingml/2006/picture">
                <pic:pic>
                  <pic:nvPicPr>
                    <pic:cNvPr descr="iden2_logo.png" id="22" name="Picture"/>
                    <pic:cNvPicPr>
                      <a:picLocks noChangeArrowheads="1" noChangeAspect="1"/>
                    </pic:cNvPicPr>
                  </pic:nvPicPr>
                  <pic:blipFill>
                    <a:blip r:embed="rId20"/>
                    <a:stretch>
                      <a:fillRect/>
                    </a:stretch>
                  </pic:blipFill>
                  <pic:spPr bwMode="auto">
                    <a:xfrm>
                      <a:off x="0" y="0"/>
                      <a:ext cx="1463040" cy="254969"/>
                    </a:xfrm>
                    <a:prstGeom prst="rect">
                      <a:avLst/>
                    </a:prstGeom>
                    <a:noFill/>
                    <a:ln w="9525">
                      <a:noFill/>
                      <a:headEnd/>
                      <a:tailEnd/>
                    </a:ln>
                  </pic:spPr>
                </pic:pic>
              </a:graphicData>
            </a:graphic>
          </wp:inline>
        </w:drawing>
      </w:r>
    </w:p>
    <w:bookmarkStart w:id="23" w:name="master-services-agreement"/>
    <w:p>
      <w:pPr>
        <w:pStyle w:val="Heading1"/>
      </w:pPr>
      <w:r>
        <w:t xml:space="preserve">MASTER SERVICES AGREEMENT</w:t>
      </w:r>
    </w:p>
    <w:p>
      <w:pPr>
        <w:pStyle w:val="FirstParagraph"/>
      </w:pPr>
      <w:r>
        <w:rPr>
          <w:bCs/>
          <w:b/>
        </w:rPr>
        <w:t xml:space="preserve">iDen2 Inc. and [CUSTOMER LEGAL NAME]</w:t>
      </w:r>
    </w:p>
    <w:tbl>
      <w:tblPr>
        <w:tblStyle w:val="Table"/>
        <w:tblLook w:firstRow="0" w:lastRow="0" w:firstColumn="0" w:lastColumn="0" w:noHBand="0" w:noVBand="0" w:val="000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c>
          <w:tcPr>
            <w:tcW w:type="dxa" w:w="2736"/>
            <w:shd w:val="clear" w:color="auto" w:fill="F4F5F7"/>
          </w:tcPr>
          <w:p>
            <w:pPr>
              <w:pStyle w:val="Compact"/>
              <w:spacing w:after="20" w:before="20"/>
              <w:jc w:val="left"/>
            </w:pPr>
            <w:r>
              <w:rPr>
                <w:bCs/>
                <w:rFonts w:ascii="Calibri" w:hAnsi="Calibri"/>
                <w:b/>
                <w:sz w:val="19"/>
              </w:rPr>
              <w:t xml:space="preserve">Agreement Reference</w:t>
            </w:r>
          </w:p>
        </w:tc>
        <w:tc>
          <w:tcPr>
            <w:tcW w:type="dxa" w:w="6624"/>
          </w:tcPr>
          <w:p>
            <w:pPr>
              <w:pStyle w:val="Compact"/>
              <w:spacing w:after="20" w:before="20"/>
              <w:jc w:val="left"/>
            </w:pPr>
            <w:r>
              <w:rPr>
                <w:rFonts w:ascii="Calibri" w:hAnsi="Calibri"/>
                <w:sz w:val="19"/>
              </w:rPr>
              <w:t xml:space="preserve">iDen2-[CUSTOMER CODE]-[YYYY]-[###]</w:t>
            </w:r>
          </w:p>
        </w:tc>
      </w:tr>
      <w:tr>
        <w:tc>
          <w:tcPr>
            <w:tcW w:type="dxa" w:w="2736"/>
            <w:shd w:val="clear" w:color="auto" w:fill="F4F5F7"/>
          </w:tcPr>
          <w:p>
            <w:pPr>
              <w:pStyle w:val="Compact"/>
              <w:spacing w:after="20" w:before="20"/>
              <w:jc w:val="left"/>
            </w:pPr>
            <w:r>
              <w:rPr>
                <w:bCs/>
                <w:rFonts w:ascii="Calibri" w:hAnsi="Calibri"/>
                <w:b/>
                <w:sz w:val="19"/>
              </w:rPr>
              <w:t xml:space="preserve">Effective Date</w:t>
            </w:r>
          </w:p>
        </w:tc>
        <w:tc>
          <w:tcPr>
            <w:tcW w:type="dxa" w:w="6624"/>
          </w:tcPr>
          <w:p>
            <w:pPr>
              <w:pStyle w:val="Compact"/>
              <w:spacing w:after="20" w:before="20"/>
              <w:jc w:val="left"/>
            </w:pPr>
            <w:r>
              <w:rPr>
                <w:rFonts w:ascii="Calibri" w:hAnsi="Calibri"/>
                <w:sz w:val="19"/>
              </w:rPr>
              <w:t xml:space="preserve">[DATE]</w:t>
            </w:r>
          </w:p>
        </w:tc>
      </w:tr>
      <w:tr>
        <w:tc>
          <w:tcPr>
            <w:tcW w:type="dxa" w:w="2736"/>
            <w:shd w:val="clear" w:color="auto" w:fill="F4F5F7"/>
          </w:tcPr>
          <w:p>
            <w:pPr>
              <w:pStyle w:val="Compact"/>
              <w:spacing w:after="20" w:before="20"/>
              <w:jc w:val="left"/>
            </w:pPr>
            <w:r>
              <w:rPr>
                <w:bCs/>
                <w:rFonts w:ascii="Calibri" w:hAnsi="Calibri"/>
                <w:b/>
                <w:sz w:val="19"/>
              </w:rPr>
              <w:t xml:space="preserve">Term</w:t>
            </w:r>
          </w:p>
        </w:tc>
        <w:tc>
          <w:tcPr>
            <w:tcW w:type="dxa" w:w="6624"/>
          </w:tcPr>
          <w:p>
            <w:pPr>
              <w:pStyle w:val="Compact"/>
              <w:spacing w:after="20" w:before="20"/>
              <w:jc w:val="left"/>
            </w:pPr>
            <w:r>
              <w:rPr>
                <w:rFonts w:ascii="Calibri" w:hAnsi="Calibri"/>
                <w:sz w:val="19"/>
              </w:rPr>
              <w:t xml:space="preserve">Starts on the Effective Date and continues until ended under Article 16</w:t>
            </w:r>
          </w:p>
        </w:tc>
      </w:tr>
      <w:tr>
        <w:tc>
          <w:tcPr>
            <w:tcW w:type="dxa" w:w="2736"/>
            <w:shd w:val="clear" w:color="auto" w:fill="F4F5F7"/>
          </w:tcPr>
          <w:p>
            <w:pPr>
              <w:pStyle w:val="Compact"/>
              <w:spacing w:after="20" w:before="20"/>
              <w:jc w:val="left"/>
            </w:pPr>
            <w:r>
              <w:rPr>
                <w:bCs/>
                <w:rFonts w:ascii="Calibri" w:hAnsi="Calibri"/>
                <w:b/>
                <w:sz w:val="19"/>
              </w:rPr>
              <w:t xml:space="preserve">Classification</w:t>
            </w:r>
          </w:p>
        </w:tc>
        <w:tc>
          <w:tcPr>
            <w:tcW w:type="dxa" w:w="6624"/>
          </w:tcPr>
          <w:p>
            <w:pPr>
              <w:pStyle w:val="Compact"/>
              <w:spacing w:after="20" w:before="20"/>
              <w:jc w:val="left"/>
            </w:pPr>
            <w:r>
              <w:rPr>
                <w:rFonts w:ascii="Calibri" w:hAnsi="Calibri"/>
                <w:sz w:val="19"/>
              </w:rPr>
              <w:t xml:space="preserve">CONFIDENTIAL</w:t>
            </w:r>
          </w:p>
        </w:tc>
      </w:tr>
    </w:tbl>
    <w:p>
      <w:pPr>
        <w:pStyle w:val="BlockText"/>
      </w:pPr>
      <w:r>
        <w:rPr>
          <w:bCs/>
          <w:b/>
        </w:rPr>
        <w:t xml:space="preserve">Drafting note (delete before sending):</w:t>
      </w:r>
      <w:r>
        <w:t xml:space="preserve"> </w:t>
      </w:r>
      <w:r>
        <w:t xml:space="preserve">This is the master legal contract. It carries no prices and no deal-specific terms. Those go in the Order Form and any SOW. Do not edit the body for a single deal unless the Template Guide says you may. Put deal-specific changes in the</w:t>
      </w:r>
      <w:r>
        <w:t xml:space="preserve"> </w:t>
      </w:r>
      <w:r>
        <w:t xml:space="preserve">“</w:t>
      </w:r>
      <w:r>
        <w:t xml:space="preserve">Special Terms</w:t>
      </w:r>
      <w:r>
        <w:t xml:space="preserve">”</w:t>
      </w:r>
      <w:r>
        <w:t xml:space="preserve"> </w:t>
      </w:r>
      <w:r>
        <w:t xml:space="preserve">box of the Order Form so the MSA stays clean and comparable across customers. Optional text is in [square brackets].</w:t>
      </w:r>
    </w:p>
    <w:bookmarkEnd w:id="23"/>
    <w:bookmarkStart w:id="24" w:name="parties-and-background"/>
    <w:p>
      <w:pPr>
        <w:pStyle w:val="Heading1"/>
      </w:pPr>
      <w:r>
        <w:t xml:space="preserve">1. PARTIES AND BACKGROUND</w:t>
      </w:r>
    </w:p>
    <w:p>
      <w:pPr>
        <w:pStyle w:val="FirstParagraph"/>
      </w:pPr>
      <w:r>
        <w:t xml:space="preserve">This Master Services Agreement (the</w:t>
      </w:r>
      <w:r>
        <w:t xml:space="preserve"> </w:t>
      </w:r>
      <w:r>
        <w:t xml:space="preserve">“</w:t>
      </w:r>
      <w:r>
        <w:rPr>
          <w:bCs/>
          <w:b/>
        </w:rPr>
        <w:t xml:space="preserve">Agreement</w:t>
      </w:r>
      <w:r>
        <w:t xml:space="preserve">”</w:t>
      </w:r>
      <w:r>
        <w:t xml:space="preserve">) is made as of the Effective Date between:</w:t>
      </w:r>
    </w:p>
    <w:p>
      <w:pPr>
        <w:numPr>
          <w:ilvl w:val="0"/>
          <w:numId w:val="1001"/>
        </w:numPr>
        <w:pStyle w:val="Compact"/>
      </w:pPr>
      <w:r>
        <w:rPr>
          <w:bCs/>
          <w:b/>
        </w:rPr>
        <w:t xml:space="preserve">iDen2 Inc.</w:t>
      </w:r>
      <w:r>
        <w:t xml:space="preserve">, a Wyoming corporation with its registered office at 30 N Gould St, Ste R, Sheridan, WY 82801, USA (</w:t>
      </w:r>
      <w:r>
        <w:t xml:space="preserve">“</w:t>
      </w:r>
      <w:r>
        <w:rPr>
          <w:bCs/>
          <w:b/>
        </w:rPr>
        <w:t xml:space="preserve">iDen2</w:t>
      </w:r>
      <w:r>
        <w:t xml:space="preserve">”</w:t>
      </w:r>
      <w:r>
        <w:t xml:space="preserve">); and</w:t>
      </w:r>
    </w:p>
    <w:p>
      <w:pPr>
        <w:numPr>
          <w:ilvl w:val="0"/>
          <w:numId w:val="1001"/>
        </w:numPr>
        <w:pStyle w:val="Compact"/>
      </w:pPr>
      <w:r>
        <w:rPr>
          <w:bCs/>
          <w:b/>
        </w:rPr>
        <w:t xml:space="preserve">[CUSTOMER LEGAL NAME]</w:t>
      </w:r>
      <w:r>
        <w:t xml:space="preserve">, a [JURISDICTION] [ENTITY TYPE] with its principal place of business at [ADDRESS] (the</w:t>
      </w:r>
      <w:r>
        <w:t xml:space="preserve"> </w:t>
      </w:r>
      <w:r>
        <w:t xml:space="preserve">“</w:t>
      </w:r>
      <w:r>
        <w:rPr>
          <w:bCs/>
          <w:b/>
        </w:rPr>
        <w:t xml:space="preserve">Customer</w:t>
      </w:r>
      <w:r>
        <w:t xml:space="preserve">”</w:t>
      </w:r>
      <w:r>
        <w:t xml:space="preserve">).</w:t>
      </w:r>
    </w:p>
    <w:p>
      <w:pPr>
        <w:pStyle w:val="FirstParagraph"/>
      </w:pPr>
      <w:r>
        <w:t xml:space="preserve">iDen2 provides a platform for issuing, holding, verifying, and governing digital credentials. The Customer wants to use that platform and related services. This Agreement sets the legal terms. Each purchase is made through an Order Form.</w:t>
      </w:r>
    </w:p>
    <w:bookmarkEnd w:id="24"/>
    <w:bookmarkStart w:id="25" w:name="definitions"/>
    <w:p>
      <w:pPr>
        <w:pStyle w:val="Heading1"/>
      </w:pPr>
      <w:r>
        <w:t xml:space="preserve">2. DEFINITIONS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rPr>
          <w:tblHeader w:val="true"/>
        </w:trPr>
        <w:tc>
          <w:tcPr>
            <w:tcW w:type="dxa" w:w="2736"/>
            <w:shd w:val="clear" w:color="auto" w:fill="EFE3FB"/>
          </w:tcPr>
          <w:p>
            <w:pPr>
              <w:pStyle w:val="Compact"/>
              <w:spacing w:after="20" w:before="20"/>
              <w:jc w:val="left"/>
            </w:pPr>
            <w:r>
              <w:rPr>
                <w:rFonts w:ascii="Calibri" w:hAnsi="Calibri"/>
                <w:b/>
                <w:sz w:val="19"/>
              </w:rPr>
              <w:t xml:space="preserve">Term</w:t>
            </w:r>
          </w:p>
        </w:tc>
        <w:tc>
          <w:tcPr>
            <w:tcW w:type="dxa" w:w="6624"/>
            <w:shd w:val="clear" w:color="auto" w:fill="EFE3FB"/>
          </w:tcPr>
          <w:p>
            <w:pPr>
              <w:pStyle w:val="Compact"/>
              <w:spacing w:after="20" w:before="20"/>
              <w:jc w:val="left"/>
            </w:pPr>
            <w:r>
              <w:rPr>
                <w:rFonts w:ascii="Calibri" w:hAnsi="Calibri"/>
                <w:b/>
                <w:sz w:val="19"/>
              </w:rPr>
              <w:t xml:space="preserve">Meaning</w:t>
            </w:r>
          </w:p>
        </w:tc>
      </w:tr>
      <w:tr>
        <w:tc>
          <w:tcPr>
            <w:tcW w:type="dxa" w:w="2736"/>
          </w:tcPr>
          <w:p>
            <w:pPr>
              <w:pStyle w:val="Compact"/>
              <w:spacing w:after="20" w:before="20"/>
              <w:jc w:val="left"/>
            </w:pPr>
            <w:r>
              <w:rPr>
                <w:bCs/>
                <w:rFonts w:ascii="Calibri" w:hAnsi="Calibri"/>
                <w:b/>
                <w:sz w:val="19"/>
              </w:rPr>
              <w:t xml:space="preserve">Affiliate</w:t>
            </w:r>
          </w:p>
        </w:tc>
        <w:tc>
          <w:tcPr>
            <w:tcW w:type="dxa" w:w="6624"/>
          </w:tcPr>
          <w:p>
            <w:pPr>
              <w:pStyle w:val="Compact"/>
              <w:spacing w:after="20" w:before="20"/>
              <w:jc w:val="left"/>
            </w:pPr>
            <w:r>
              <w:rPr>
                <w:rFonts w:ascii="Calibri" w:hAnsi="Calibri"/>
                <w:sz w:val="19"/>
              </w:rPr>
              <w:t xml:space="preserve">A company that controls, is controlled by, or is under common control with a party.</w:t>
            </w:r>
            <w:r>
              <w:rPr>
                <w:rFonts w:ascii="Calibri" w:hAnsi="Calibri"/>
                <w:sz w:val="19"/>
              </w:rPr>
              <w:t xml:space="preserve"> </w:t>
            </w:r>
            <w:r>
              <w:rPr>
                <w:rFonts w:ascii="Calibri" w:hAnsi="Calibri"/>
                <w:sz w:val="19"/>
              </w:rPr>
              <w:t xml:space="preserve">“</w:t>
            </w:r>
            <w:r>
              <w:rPr>
                <w:rFonts w:ascii="Calibri" w:hAnsi="Calibri"/>
                <w:sz w:val="19"/>
              </w:rPr>
              <w:t xml:space="preserve">Control</w:t>
            </w:r>
            <w:r>
              <w:rPr>
                <w:rFonts w:ascii="Calibri" w:hAnsi="Calibri"/>
                <w:sz w:val="19"/>
              </w:rPr>
              <w:t xml:space="preserve">”</w:t>
            </w:r>
            <w:r>
              <w:rPr>
                <w:rFonts w:ascii="Calibri" w:hAnsi="Calibri"/>
                <w:sz w:val="19"/>
              </w:rPr>
              <w:t xml:space="preserve"> </w:t>
            </w:r>
            <w:r>
              <w:rPr>
                <w:rFonts w:ascii="Calibri" w:hAnsi="Calibri"/>
                <w:sz w:val="19"/>
              </w:rPr>
              <w:t xml:space="preserve">means owning more than 50% of the voting rights.</w:t>
            </w:r>
          </w:p>
        </w:tc>
      </w:tr>
      <w:tr>
        <w:tc>
          <w:tcPr>
            <w:tcW w:type="dxa" w:w="2736"/>
          </w:tcPr>
          <w:p>
            <w:pPr>
              <w:pStyle w:val="Compact"/>
              <w:spacing w:after="20" w:before="20"/>
              <w:jc w:val="left"/>
            </w:pPr>
            <w:r>
              <w:rPr>
                <w:bCs/>
                <w:rFonts w:ascii="Calibri" w:hAnsi="Calibri"/>
                <w:b/>
                <w:sz w:val="19"/>
              </w:rPr>
              <w:t xml:space="preserve">AI Agent</w:t>
            </w:r>
          </w:p>
        </w:tc>
        <w:tc>
          <w:tcPr>
            <w:tcW w:type="dxa" w:w="6624"/>
          </w:tcPr>
          <w:p>
            <w:pPr>
              <w:pStyle w:val="Compact"/>
              <w:spacing w:after="20" w:before="20"/>
              <w:jc w:val="left"/>
            </w:pPr>
            <w:r>
              <w:rPr>
                <w:rFonts w:ascii="Calibri" w:hAnsi="Calibri"/>
                <w:sz w:val="19"/>
              </w:rPr>
              <w:t xml:space="preserve">Software that acts for a person or organization and that is given authority through the Platform.</w:t>
            </w:r>
          </w:p>
        </w:tc>
      </w:tr>
      <w:tr>
        <w:tc>
          <w:tcPr>
            <w:tcW w:type="dxa" w:w="2736"/>
          </w:tcPr>
          <w:p>
            <w:pPr>
              <w:pStyle w:val="Compact"/>
              <w:spacing w:after="20" w:before="20"/>
              <w:jc w:val="left"/>
            </w:pPr>
            <w:r>
              <w:rPr>
                <w:bCs/>
                <w:rFonts w:ascii="Calibri" w:hAnsi="Calibri"/>
                <w:b/>
                <w:sz w:val="19"/>
              </w:rPr>
              <w:t xml:space="preserve">Applicable Law</w:t>
            </w:r>
          </w:p>
        </w:tc>
        <w:tc>
          <w:tcPr>
            <w:tcW w:type="dxa" w:w="6624"/>
          </w:tcPr>
          <w:p>
            <w:pPr>
              <w:pStyle w:val="Compact"/>
              <w:spacing w:after="20" w:before="20"/>
              <w:jc w:val="left"/>
            </w:pPr>
            <w:r>
              <w:rPr>
                <w:rFonts w:ascii="Calibri" w:hAnsi="Calibri"/>
                <w:sz w:val="19"/>
              </w:rPr>
              <w:t xml:space="preserve">All laws and regulations that apply to a party’s performance under this Agreement, including data protection, export control, sanctions, and anti-corruption laws.</w:t>
            </w:r>
          </w:p>
        </w:tc>
      </w:tr>
      <w:tr>
        <w:tc>
          <w:tcPr>
            <w:tcW w:type="dxa" w:w="2736"/>
          </w:tcPr>
          <w:p>
            <w:pPr>
              <w:pStyle w:val="Compact"/>
              <w:spacing w:after="20" w:before="20"/>
              <w:jc w:val="left"/>
            </w:pPr>
            <w:r>
              <w:rPr>
                <w:bCs/>
                <w:rFonts w:ascii="Calibri" w:hAnsi="Calibri"/>
                <w:b/>
                <w:sz w:val="19"/>
              </w:rPr>
              <w:t xml:space="preserve">Authorized Users</w:t>
            </w:r>
          </w:p>
        </w:tc>
        <w:tc>
          <w:tcPr>
            <w:tcW w:type="dxa" w:w="6624"/>
          </w:tcPr>
          <w:p>
            <w:pPr>
              <w:pStyle w:val="Compact"/>
              <w:spacing w:after="20" w:before="20"/>
              <w:jc w:val="left"/>
            </w:pPr>
            <w:r>
              <w:rPr>
                <w:rFonts w:ascii="Calibri" w:hAnsi="Calibri"/>
                <w:sz w:val="19"/>
              </w:rPr>
              <w:t xml:space="preserve">The Customer’s (and its permitted Affiliates’) employees and contractors that the Customer allows to use the Platform.</w:t>
            </w:r>
          </w:p>
        </w:tc>
      </w:tr>
      <w:tr>
        <w:tc>
          <w:tcPr>
            <w:tcW w:type="dxa" w:w="2736"/>
          </w:tcPr>
          <w:p>
            <w:pPr>
              <w:pStyle w:val="Compact"/>
              <w:spacing w:after="20" w:before="20"/>
              <w:jc w:val="left"/>
            </w:pPr>
            <w:r>
              <w:rPr>
                <w:bCs/>
                <w:rFonts w:ascii="Calibri" w:hAnsi="Calibri"/>
                <w:b/>
                <w:sz w:val="19"/>
              </w:rPr>
              <w:t xml:space="preserve">Credential</w:t>
            </w:r>
          </w:p>
        </w:tc>
        <w:tc>
          <w:tcPr>
            <w:tcW w:type="dxa" w:w="6624"/>
          </w:tcPr>
          <w:p>
            <w:pPr>
              <w:pStyle w:val="Compact"/>
              <w:spacing w:after="20" w:before="20"/>
              <w:jc w:val="left"/>
            </w:pPr>
            <w:r>
              <w:rPr>
                <w:rFonts w:ascii="Calibri" w:hAnsi="Calibri"/>
                <w:sz w:val="19"/>
              </w:rPr>
              <w:t xml:space="preserve">A digital statement about a person, organization, device, or AI Agent that is issued, held, or verified using the Platform.</w:t>
            </w:r>
          </w:p>
        </w:tc>
      </w:tr>
      <w:tr>
        <w:tc>
          <w:tcPr>
            <w:tcW w:type="dxa" w:w="2736"/>
          </w:tcPr>
          <w:p>
            <w:pPr>
              <w:pStyle w:val="Compact"/>
              <w:spacing w:after="20" w:before="20"/>
              <w:jc w:val="left"/>
            </w:pPr>
            <w:r>
              <w:rPr>
                <w:bCs/>
                <w:rFonts w:ascii="Calibri" w:hAnsi="Calibri"/>
                <w:b/>
                <w:sz w:val="19"/>
              </w:rPr>
              <w:t xml:space="preserve">Customer Data</w:t>
            </w:r>
          </w:p>
        </w:tc>
        <w:tc>
          <w:tcPr>
            <w:tcW w:type="dxa" w:w="6624"/>
          </w:tcPr>
          <w:p>
            <w:pPr>
              <w:pStyle w:val="Compact"/>
              <w:spacing w:after="20" w:before="20"/>
              <w:jc w:val="left"/>
            </w:pPr>
            <w:r>
              <w:rPr>
                <w:rFonts w:ascii="Calibri" w:hAnsi="Calibri"/>
                <w:sz w:val="19"/>
              </w:rPr>
              <w:t xml:space="preserve">All data and content that the Customer or its Authorized Users or Holders put into the Platform or that iDen2 processes for the Customer, including Credential contents. It does not include Usage Data.</w:t>
            </w:r>
          </w:p>
        </w:tc>
      </w:tr>
      <w:tr>
        <w:tc>
          <w:tcPr>
            <w:tcW w:type="dxa" w:w="2736"/>
          </w:tcPr>
          <w:p>
            <w:pPr>
              <w:pStyle w:val="Compact"/>
              <w:spacing w:after="20" w:before="20"/>
              <w:jc w:val="left"/>
            </w:pPr>
            <w:r>
              <w:rPr>
                <w:bCs/>
                <w:rFonts w:ascii="Calibri" w:hAnsi="Calibri"/>
                <w:b/>
                <w:sz w:val="19"/>
              </w:rPr>
              <w:t xml:space="preserve">Deliverable</w:t>
            </w:r>
          </w:p>
        </w:tc>
        <w:tc>
          <w:tcPr>
            <w:tcW w:type="dxa" w:w="6624"/>
          </w:tcPr>
          <w:p>
            <w:pPr>
              <w:pStyle w:val="Compact"/>
              <w:spacing w:after="20" w:before="20"/>
              <w:jc w:val="left"/>
            </w:pPr>
            <w:r>
              <w:rPr>
                <w:rFonts w:ascii="Calibri" w:hAnsi="Calibri"/>
                <w:sz w:val="19"/>
              </w:rPr>
              <w:t xml:space="preserve">A work product that iDen2 creates for the Customer under a SOW and names as a Deliverable in that SOW.</w:t>
            </w:r>
          </w:p>
        </w:tc>
      </w:tr>
      <w:tr>
        <w:tc>
          <w:tcPr>
            <w:tcW w:type="dxa" w:w="2736"/>
          </w:tcPr>
          <w:p>
            <w:pPr>
              <w:pStyle w:val="Compact"/>
              <w:spacing w:after="20" w:before="20"/>
              <w:jc w:val="left"/>
            </w:pPr>
            <w:r>
              <w:rPr>
                <w:bCs/>
                <w:rFonts w:ascii="Calibri" w:hAnsi="Calibri"/>
                <w:b/>
                <w:sz w:val="19"/>
              </w:rPr>
              <w:t xml:space="preserve">Documentation</w:t>
            </w:r>
          </w:p>
        </w:tc>
        <w:tc>
          <w:tcPr>
            <w:tcW w:type="dxa" w:w="6624"/>
          </w:tcPr>
          <w:p>
            <w:pPr>
              <w:pStyle w:val="Compact"/>
              <w:spacing w:after="20" w:before="20"/>
              <w:jc w:val="left"/>
            </w:pPr>
            <w:r>
              <w:rPr>
                <w:rFonts w:ascii="Calibri" w:hAnsi="Calibri"/>
                <w:sz w:val="19"/>
              </w:rPr>
              <w:t xml:space="preserve">iDen2’s current written user, technical, and security guides for the Platform, as made available to the Customer.</w:t>
            </w:r>
          </w:p>
        </w:tc>
      </w:tr>
      <w:tr>
        <w:tc>
          <w:tcPr>
            <w:tcW w:type="dxa" w:w="2736"/>
          </w:tcPr>
          <w:p>
            <w:pPr>
              <w:pStyle w:val="Compact"/>
              <w:spacing w:after="20" w:before="20"/>
              <w:jc w:val="left"/>
            </w:pPr>
            <w:r>
              <w:rPr>
                <w:bCs/>
                <w:rFonts w:ascii="Calibri" w:hAnsi="Calibri"/>
                <w:b/>
                <w:sz w:val="19"/>
              </w:rPr>
              <w:t xml:space="preserve">Fees</w:t>
            </w:r>
          </w:p>
        </w:tc>
        <w:tc>
          <w:tcPr>
            <w:tcW w:type="dxa" w:w="6624"/>
          </w:tcPr>
          <w:p>
            <w:pPr>
              <w:pStyle w:val="Compact"/>
              <w:spacing w:after="20" w:before="20"/>
              <w:jc w:val="left"/>
            </w:pPr>
            <w:r>
              <w:rPr>
                <w:rFonts w:ascii="Calibri" w:hAnsi="Calibri"/>
                <w:sz w:val="19"/>
              </w:rPr>
              <w:t xml:space="preserve">The amounts payable under an Order Form or SOW.</w:t>
            </w:r>
          </w:p>
        </w:tc>
      </w:tr>
      <w:tr>
        <w:tc>
          <w:tcPr>
            <w:tcW w:type="dxa" w:w="2736"/>
          </w:tcPr>
          <w:p>
            <w:pPr>
              <w:pStyle w:val="Compact"/>
              <w:spacing w:after="20" w:before="20"/>
              <w:jc w:val="left"/>
            </w:pPr>
            <w:r>
              <w:rPr>
                <w:bCs/>
                <w:rFonts w:ascii="Calibri" w:hAnsi="Calibri"/>
                <w:b/>
                <w:sz w:val="19"/>
              </w:rPr>
              <w:t xml:space="preserve">Holder</w:t>
            </w:r>
          </w:p>
        </w:tc>
        <w:tc>
          <w:tcPr>
            <w:tcW w:type="dxa" w:w="6624"/>
          </w:tcPr>
          <w:p>
            <w:pPr>
              <w:pStyle w:val="Compact"/>
              <w:spacing w:after="20" w:before="20"/>
              <w:jc w:val="left"/>
            </w:pPr>
            <w:r>
              <w:rPr>
                <w:rFonts w:ascii="Calibri" w:hAnsi="Calibri"/>
                <w:sz w:val="19"/>
              </w:rPr>
              <w:t xml:space="preserve">A person or organization that receives and holds a Credential, including through a wallet.</w:t>
            </w:r>
          </w:p>
        </w:tc>
      </w:tr>
      <w:tr>
        <w:tc>
          <w:tcPr>
            <w:tcW w:type="dxa" w:w="2736"/>
          </w:tcPr>
          <w:p>
            <w:pPr>
              <w:pStyle w:val="Compact"/>
              <w:spacing w:after="20" w:before="20"/>
              <w:jc w:val="left"/>
            </w:pPr>
            <w:r>
              <w:rPr>
                <w:bCs/>
                <w:rFonts w:ascii="Calibri" w:hAnsi="Calibri"/>
                <w:b/>
                <w:sz w:val="19"/>
              </w:rPr>
              <w:t xml:space="preserve">Order Form</w:t>
            </w:r>
          </w:p>
        </w:tc>
        <w:tc>
          <w:tcPr>
            <w:tcW w:type="dxa" w:w="6624"/>
          </w:tcPr>
          <w:p>
            <w:pPr>
              <w:pStyle w:val="Compact"/>
              <w:spacing w:after="20" w:before="20"/>
              <w:jc w:val="left"/>
            </w:pPr>
            <w:r>
              <w:rPr>
                <w:rFonts w:ascii="Calibri" w:hAnsi="Calibri"/>
                <w:sz w:val="19"/>
              </w:rPr>
              <w:t xml:space="preserve">A document signed by both parties that lists the Platform modules, quantities, Fees, and Subscription Term.</w:t>
            </w:r>
          </w:p>
        </w:tc>
      </w:tr>
      <w:tr>
        <w:tc>
          <w:tcPr>
            <w:tcW w:type="dxa" w:w="2736"/>
          </w:tcPr>
          <w:p>
            <w:pPr>
              <w:pStyle w:val="Compact"/>
              <w:spacing w:after="20" w:before="20"/>
              <w:jc w:val="left"/>
            </w:pPr>
            <w:r>
              <w:rPr>
                <w:bCs/>
                <w:rFonts w:ascii="Calibri" w:hAnsi="Calibri"/>
                <w:b/>
                <w:sz w:val="19"/>
              </w:rPr>
              <w:t xml:space="preserve">Personal Data</w:t>
            </w:r>
          </w:p>
        </w:tc>
        <w:tc>
          <w:tcPr>
            <w:tcW w:type="dxa" w:w="6624"/>
          </w:tcPr>
          <w:p>
            <w:pPr>
              <w:pStyle w:val="Compact"/>
              <w:spacing w:after="20" w:before="20"/>
              <w:jc w:val="left"/>
            </w:pPr>
            <w:r>
              <w:rPr>
                <w:rFonts w:ascii="Calibri" w:hAnsi="Calibri"/>
                <w:sz w:val="19"/>
              </w:rPr>
              <w:t xml:space="preserve">Information about an identified or identifiable person, as defined by Applicable Law.</w:t>
            </w:r>
          </w:p>
        </w:tc>
      </w:tr>
      <w:tr>
        <w:tc>
          <w:tcPr>
            <w:tcW w:type="dxa" w:w="2736"/>
          </w:tcPr>
          <w:p>
            <w:pPr>
              <w:pStyle w:val="Compact"/>
              <w:spacing w:after="20" w:before="20"/>
              <w:jc w:val="left"/>
            </w:pPr>
            <w:r>
              <w:rPr>
                <w:bCs/>
                <w:rFonts w:ascii="Calibri" w:hAnsi="Calibri"/>
                <w:b/>
                <w:sz w:val="19"/>
              </w:rPr>
              <w:t xml:space="preserve">Platform</w:t>
            </w:r>
          </w:p>
        </w:tc>
        <w:tc>
          <w:tcPr>
            <w:tcW w:type="dxa" w:w="6624"/>
          </w:tcPr>
          <w:p>
            <w:pPr>
              <w:pStyle w:val="Compact"/>
              <w:spacing w:after="20" w:before="20"/>
              <w:jc w:val="left"/>
            </w:pPr>
            <w:r>
              <w:rPr>
                <w:rFonts w:ascii="Calibri" w:hAnsi="Calibri"/>
                <w:sz w:val="19"/>
              </w:rPr>
              <w:t xml:space="preserve">iDen2’s Phenix platform and the modules named in an Order Form (for example Credentials Factory, Trust Engine, APoC Engine, Custody Controls, Protocol Bridge, and the Holdr wallet), including updates.</w:t>
            </w:r>
          </w:p>
        </w:tc>
      </w:tr>
      <w:tr>
        <w:tc>
          <w:tcPr>
            <w:tcW w:type="dxa" w:w="2736"/>
          </w:tcPr>
          <w:p>
            <w:pPr>
              <w:pStyle w:val="Compact"/>
              <w:spacing w:after="20" w:before="20"/>
              <w:jc w:val="left"/>
            </w:pPr>
            <w:r>
              <w:rPr>
                <w:bCs/>
                <w:rFonts w:ascii="Calibri" w:hAnsi="Calibri"/>
                <w:b/>
                <w:sz w:val="19"/>
              </w:rPr>
              <w:t xml:space="preserve">Professional Services</w:t>
            </w:r>
          </w:p>
        </w:tc>
        <w:tc>
          <w:tcPr>
            <w:tcW w:type="dxa" w:w="6624"/>
          </w:tcPr>
          <w:p>
            <w:pPr>
              <w:pStyle w:val="Compact"/>
              <w:spacing w:after="20" w:before="20"/>
              <w:jc w:val="left"/>
            </w:pPr>
            <w:r>
              <w:rPr>
                <w:rFonts w:ascii="Calibri" w:hAnsi="Calibri"/>
                <w:sz w:val="19"/>
              </w:rPr>
              <w:t xml:space="preserve">Implementation, integration, configuration, training, and consulting services described in a SOW.</w:t>
            </w:r>
          </w:p>
        </w:tc>
      </w:tr>
      <w:tr>
        <w:tc>
          <w:tcPr>
            <w:tcW w:type="dxa" w:w="2736"/>
          </w:tcPr>
          <w:p>
            <w:pPr>
              <w:pStyle w:val="Compact"/>
              <w:spacing w:after="20" w:before="20"/>
              <w:jc w:val="left"/>
            </w:pPr>
            <w:r>
              <w:rPr>
                <w:bCs/>
                <w:rFonts w:ascii="Calibri" w:hAnsi="Calibri"/>
                <w:b/>
                <w:sz w:val="19"/>
              </w:rPr>
              <w:t xml:space="preserve">Security Incident</w:t>
            </w:r>
          </w:p>
        </w:tc>
        <w:tc>
          <w:tcPr>
            <w:tcW w:type="dxa" w:w="6624"/>
          </w:tcPr>
          <w:p>
            <w:pPr>
              <w:pStyle w:val="Compact"/>
              <w:spacing w:after="20" w:before="20"/>
              <w:jc w:val="left"/>
            </w:pPr>
            <w:r>
              <w:rPr>
                <w:rFonts w:ascii="Calibri" w:hAnsi="Calibri"/>
                <w:sz w:val="19"/>
              </w:rPr>
              <w:t xml:space="preserve">A confirmed breach of security that leads to the accidental or unlawful destruction, loss, alteration, or unauthorized disclosure of, or access to, Customer Data in iDen2’s control.</w:t>
            </w:r>
          </w:p>
        </w:tc>
      </w:tr>
      <w:tr>
        <w:tc>
          <w:tcPr>
            <w:tcW w:type="dxa" w:w="2736"/>
          </w:tcPr>
          <w:p>
            <w:pPr>
              <w:pStyle w:val="Compact"/>
              <w:spacing w:after="20" w:before="20"/>
              <w:jc w:val="left"/>
            </w:pPr>
            <w:r>
              <w:rPr>
                <w:bCs/>
                <w:rFonts w:ascii="Calibri" w:hAnsi="Calibri"/>
                <w:b/>
                <w:sz w:val="19"/>
              </w:rPr>
              <w:t xml:space="preserve">SOW</w:t>
            </w:r>
          </w:p>
        </w:tc>
        <w:tc>
          <w:tcPr>
            <w:tcW w:type="dxa" w:w="6624"/>
          </w:tcPr>
          <w:p>
            <w:pPr>
              <w:pStyle w:val="Compact"/>
              <w:spacing w:after="20" w:before="20"/>
              <w:jc w:val="left"/>
            </w:pPr>
            <w:r>
              <w:rPr>
                <w:rFonts w:ascii="Calibri" w:hAnsi="Calibri"/>
                <w:sz w:val="19"/>
              </w:rPr>
              <w:t xml:space="preserve">A statement of work signed by both parties that describes Professional Services.</w:t>
            </w:r>
          </w:p>
        </w:tc>
      </w:tr>
      <w:tr>
        <w:tc>
          <w:tcPr>
            <w:tcW w:type="dxa" w:w="2736"/>
          </w:tcPr>
          <w:p>
            <w:pPr>
              <w:pStyle w:val="Compact"/>
              <w:spacing w:after="20" w:before="20"/>
              <w:jc w:val="left"/>
            </w:pPr>
            <w:r>
              <w:rPr>
                <w:bCs/>
                <w:rFonts w:ascii="Calibri" w:hAnsi="Calibri"/>
                <w:b/>
                <w:sz w:val="19"/>
              </w:rPr>
              <w:t xml:space="preserve">Subscription Term</w:t>
            </w:r>
          </w:p>
        </w:tc>
        <w:tc>
          <w:tcPr>
            <w:tcW w:type="dxa" w:w="6624"/>
          </w:tcPr>
          <w:p>
            <w:pPr>
              <w:pStyle w:val="Compact"/>
              <w:spacing w:after="20" w:before="20"/>
              <w:jc w:val="left"/>
            </w:pPr>
            <w:r>
              <w:rPr>
                <w:rFonts w:ascii="Calibri" w:hAnsi="Calibri"/>
                <w:sz w:val="19"/>
              </w:rPr>
              <w:t xml:space="preserve">The period for which the Customer may use the Platform, as stated in the Order Form, including renewals.</w:t>
            </w:r>
          </w:p>
        </w:tc>
      </w:tr>
      <w:tr>
        <w:tc>
          <w:tcPr>
            <w:tcW w:type="dxa" w:w="2736"/>
          </w:tcPr>
          <w:p>
            <w:pPr>
              <w:pStyle w:val="Compact"/>
              <w:spacing w:after="20" w:before="20"/>
              <w:jc w:val="left"/>
            </w:pPr>
            <w:r>
              <w:rPr>
                <w:bCs/>
                <w:rFonts w:ascii="Calibri" w:hAnsi="Calibri"/>
                <w:b/>
                <w:sz w:val="19"/>
              </w:rPr>
              <w:t xml:space="preserve">Usage Data</w:t>
            </w:r>
          </w:p>
        </w:tc>
        <w:tc>
          <w:tcPr>
            <w:tcW w:type="dxa" w:w="6624"/>
          </w:tcPr>
          <w:p>
            <w:pPr>
              <w:pStyle w:val="Compact"/>
              <w:spacing w:after="20" w:before="20"/>
              <w:jc w:val="left"/>
            </w:pPr>
            <w:r>
              <w:rPr>
                <w:rFonts w:ascii="Calibri" w:hAnsi="Calibri"/>
                <w:sz w:val="19"/>
              </w:rPr>
              <w:t xml:space="preserve">Technical and operational data about how the Platform is used and performs (for example volumes, logs, and performance metrics), which does not identify the Customer or any person.</w:t>
            </w:r>
          </w:p>
        </w:tc>
      </w:tr>
    </w:tbl>
    <w:bookmarkEnd w:id="25"/>
    <w:bookmarkStart w:id="26" w:name="how-the-documents-fit-together"/>
    <w:p>
      <w:pPr>
        <w:pStyle w:val="Heading1"/>
      </w:pPr>
      <w:r>
        <w:t xml:space="preserve">3. HOW THE DOCUMENTS FIT TOGETHER</w:t>
      </w:r>
    </w:p>
    <w:p>
      <w:pPr>
        <w:pStyle w:val="FirstParagraph"/>
      </w:pPr>
      <w:r>
        <w:rPr>
          <w:bCs/>
          <w:b/>
        </w:rPr>
        <w:t xml:space="preserve">3.1 Order of precedence.</w:t>
      </w:r>
      <w:r>
        <w:t xml:space="preserve"> </w:t>
      </w:r>
      <w:r>
        <w:t xml:space="preserve">If documents conflict, this order applies, highest first: (a) the Data Processing Addendum, but only for Personal Data; (b) the Order Form; (c) a SOW, but only for Professional Services; (d) this Agreement and its exhibits; (e) the Documentation.</w:t>
      </w:r>
    </w:p>
    <w:p>
      <w:pPr>
        <w:pStyle w:val="BodyText"/>
      </w:pPr>
      <w:r>
        <w:rPr>
          <w:bCs/>
          <w:b/>
        </w:rPr>
        <w:t xml:space="preserve">3.2 Overrides must be clear.</w:t>
      </w:r>
      <w:r>
        <w:t xml:space="preserve"> </w:t>
      </w:r>
      <w:r>
        <w:t xml:space="preserve">An Order Form or SOW term changes this Agreement only if it names the section it changes and says it is an override.</w:t>
      </w:r>
    </w:p>
    <w:p>
      <w:pPr>
        <w:pStyle w:val="BodyText"/>
      </w:pPr>
      <w:r>
        <w:rPr>
          <w:bCs/>
          <w:b/>
        </w:rPr>
        <w:t xml:space="preserve">3.3 Customer paper does not apply.</w:t>
      </w:r>
      <w:r>
        <w:t xml:space="preserve"> </w:t>
      </w:r>
      <w:r>
        <w:t xml:space="preserve">Terms in a purchase order, supplier portal, or similar document do not apply, even if iDen2 accepts or signs it. They are used for internal ordering only.</w:t>
      </w:r>
    </w:p>
    <w:p>
      <w:pPr>
        <w:pStyle w:val="BodyText"/>
      </w:pPr>
      <w:r>
        <w:rPr>
          <w:bCs/>
          <w:b/>
        </w:rPr>
        <w:t xml:space="preserve">3.4 Affiliates.</w:t>
      </w:r>
      <w:r>
        <w:t xml:space="preserve"> </w:t>
      </w:r>
      <w:r>
        <w:t xml:space="preserve">An Affiliate of the Customer may sign its own Order Form under this Agreement. The Affiliate is then treated as the Customer for that Order Form. The Customer stays responsible for its Affiliates’ use of the Platform.</w:t>
      </w:r>
    </w:p>
    <w:bookmarkEnd w:id="26"/>
    <w:bookmarkStart w:id="27" w:name="access-to-the-platform"/>
    <w:p>
      <w:pPr>
        <w:pStyle w:val="Heading1"/>
      </w:pPr>
      <w:r>
        <w:t xml:space="preserve">4. ACCESS TO THE PLATFORM</w:t>
      </w:r>
    </w:p>
    <w:p>
      <w:pPr>
        <w:pStyle w:val="FirstParagraph"/>
      </w:pPr>
      <w:r>
        <w:rPr>
          <w:bCs/>
          <w:b/>
        </w:rPr>
        <w:t xml:space="preserve">4.1 Right to use.</w:t>
      </w:r>
      <w:r>
        <w:t xml:space="preserve"> </w:t>
      </w:r>
      <w:r>
        <w:t xml:space="preserve">During the Subscription Term, iDen2 gives the Customer a non-exclusive, non-transferable right to access and use the Platform modules listed in the Order Form, within the stated limits, for the Customer’s internal business purposes. iDen2 will host and run the Platform as described in the Order Form and Documentation.</w:t>
      </w:r>
    </w:p>
    <w:p>
      <w:pPr>
        <w:pStyle w:val="BodyText"/>
      </w:pPr>
      <w:r>
        <w:rPr>
          <w:bCs/>
          <w:b/>
        </w:rPr>
        <w:t xml:space="preserve">4.2 Usage limits.</w:t>
      </w:r>
      <w:r>
        <w:t xml:space="preserve"> </w:t>
      </w:r>
      <w:r>
        <w:t xml:space="preserve">The Order Form sets the limits (for example Credentials issued, verifications, active wallets, environments, or AI Agents). If the Customer goes over a limit, iDen2 may invoice the overage at the rates in the Order Form. If the Order Form has no overage rate, iDen2 may invoice at its then-current list rates after 30 days’ notice.</w:t>
      </w:r>
    </w:p>
    <w:p>
      <w:pPr>
        <w:pStyle w:val="BodyText"/>
      </w:pPr>
      <w:r>
        <w:rPr>
          <w:bCs/>
          <w:b/>
        </w:rPr>
        <w:t xml:space="preserve">4.3 Authorized Users.</w:t>
      </w:r>
      <w:r>
        <w:t xml:space="preserve"> </w:t>
      </w:r>
      <w:r>
        <w:t xml:space="preserve">The Customer is responsible for its Authorized Users. The Customer must keep its access credentials and keys secure, must tell iDen2 promptly if it suspects misuse, and is responsible for all activity under its accounts, except activity caused by iDen2’s breach.</w:t>
      </w:r>
    </w:p>
    <w:p>
      <w:pPr>
        <w:pStyle w:val="BodyText"/>
      </w:pPr>
      <w:r>
        <w:rPr>
          <w:bCs/>
          <w:b/>
        </w:rPr>
        <w:t xml:space="preserve">4.4 Restrictions.</w:t>
      </w:r>
      <w:r>
        <w:t xml:space="preserve"> </w:t>
      </w:r>
      <w:r>
        <w:t xml:space="preserve">The Customer must not, and must not allow anyone else to: (a) copy, modify, or create derivative works of the Platform; (b) reverse engineer or try to get source code, except where Applicable Law allows it despite this restriction; (c) sell, rent, or sublicense the Platform, or use it to provide a competing service; (d) bypass usage limits or security controls; (e) use the Platform in breach of the Acceptable Use Rules in Exhibit A; or (f) benchmark the Platform and publish results without iDen2’s written consent.</w:t>
      </w:r>
    </w:p>
    <w:p>
      <w:pPr>
        <w:pStyle w:val="BodyText"/>
      </w:pPr>
      <w:r>
        <w:rPr>
          <w:bCs/>
          <w:b/>
        </w:rPr>
        <w:t xml:space="preserve">4.5 Changes to the Platform.</w:t>
      </w:r>
      <w:r>
        <w:t xml:space="preserve"> </w:t>
      </w:r>
      <w:r>
        <w:t xml:space="preserve">iDen2 may update the Platform from time to time. iDen2 will not make a change that materially reduces the core functions the Customer bought for the current Subscription Term. iDen2 will give at least 90 days’ notice before it retires a module or a major feature the Customer uses, and will offer a reasonable alternative or a pro-rata refund of prepaid Fees for the retired part.</w:t>
      </w:r>
    </w:p>
    <w:p>
      <w:pPr>
        <w:pStyle w:val="BodyText"/>
      </w:pPr>
      <w:r>
        <w:rPr>
          <w:bCs/>
          <w:b/>
        </w:rPr>
        <w:t xml:space="preserve">4.6 Suspension.</w:t>
      </w:r>
      <w:r>
        <w:t xml:space="preserve"> </w:t>
      </w:r>
      <w:r>
        <w:t xml:space="preserve">iDen2 may suspend access, in whole or in part, if: (a) the Platform or other customers face a real security threat from the Customer’s use; (b) the Customer breaches Exhibit A or Applicable Law; or (c) undisputed Fees are more than 30 days overdue and the Customer has had 10 days’ written notice. iDen2 will limit the suspension to what is needed, will tell the Customer why, and will restore access promptly once the cause is fixed. For (a), iDen2 may suspend first and notify straight after.</w:t>
      </w:r>
    </w:p>
    <w:p>
      <w:pPr>
        <w:pStyle w:val="BodyText"/>
      </w:pPr>
      <w:r>
        <w:rPr>
          <w:bCs/>
          <w:b/>
        </w:rPr>
        <w:t xml:space="preserve">4.7 Pre-release features.</w:t>
      </w:r>
      <w:r>
        <w:t xml:space="preserve"> </w:t>
      </w:r>
      <w:r>
        <w:t xml:space="preserve">If iDen2 gives the Customer access to a beta, preview, or pre-release feature, it is offered as is, may change or end at any time, and is excluded from the warranties, service levels, and indemnities in this Agreement.</w:t>
      </w:r>
    </w:p>
    <w:bookmarkEnd w:id="27"/>
    <w:bookmarkStart w:id="28" w:name="the-customers-role-and-decisions"/>
    <w:p>
      <w:pPr>
        <w:pStyle w:val="Heading1"/>
      </w:pPr>
      <w:r>
        <w:t xml:space="preserve">5. THE CUSTOMER’S ROLE AND DECISIONS</w:t>
      </w:r>
    </w:p>
    <w:p>
      <w:pPr>
        <w:pStyle w:val="BlockText"/>
      </w:pPr>
      <w:r>
        <w:rPr>
          <w:bCs/>
          <w:b/>
        </w:rPr>
        <w:t xml:space="preserve">Drafting note:</w:t>
      </w:r>
      <w:r>
        <w:t xml:space="preserve"> </w:t>
      </w:r>
      <w:r>
        <w:t xml:space="preserve">This article matters more for iDen2 than a standard software contract. iDen2 supplies the tools. The Customer decides who receives Credentials, what is checked, and what it relies on. Do not soften this article without checking the Template Guide.</w:t>
      </w:r>
    </w:p>
    <w:p>
      <w:pPr>
        <w:pStyle w:val="FirstParagraph"/>
      </w:pPr>
      <w:r>
        <w:rPr>
          <w:bCs/>
          <w:b/>
        </w:rPr>
        <w:t xml:space="preserve">5.1 The Customer makes the identity decisions.</w:t>
      </w:r>
      <w:r>
        <w:t xml:space="preserve"> </w:t>
      </w:r>
      <w:r>
        <w:t xml:space="preserve">The Customer decides: (a) who it issues Credentials to and on what checks; (b) what proof it requires before issuing; (c) what it accepts when it verifies a Credential; (d) when to revoke or suspend a Credential; and (e) what rules or trust framework apply to its Credential ecosystem. The Platform provides tools to carry out those decisions. iDen2 does not decide whether a person is who they say they are, and does not make legal or eligibility decisions for the Customer.</w:t>
      </w:r>
    </w:p>
    <w:p>
      <w:pPr>
        <w:pStyle w:val="BodyText"/>
      </w:pPr>
      <w:r>
        <w:rPr>
          <w:bCs/>
          <w:b/>
        </w:rPr>
        <w:t xml:space="preserve">5.2 Legal basis and notices.</w:t>
      </w:r>
      <w:r>
        <w:t xml:space="preserve"> </w:t>
      </w:r>
      <w:r>
        <w:t xml:space="preserve">The Customer is responsible for having the legal right to collect, issue, and verify the data it puts through the Platform. This includes giving Holders any notices and getting any consents that Applicable Law requires, and providing Holders with its own terms for using the Credentials and any Customer-branded wallet.</w:t>
      </w:r>
    </w:p>
    <w:p>
      <w:pPr>
        <w:pStyle w:val="BodyText"/>
      </w:pPr>
      <w:r>
        <w:rPr>
          <w:bCs/>
          <w:b/>
        </w:rPr>
        <w:t xml:space="preserve">5.3 AI Agents (if the APoC Engine is purchased).</w:t>
      </w:r>
      <w:r>
        <w:t xml:space="preserve"> </w:t>
      </w:r>
      <w:r>
        <w:t xml:space="preserve">The Customer defines what authority each AI Agent has and for how long. The Customer is responsible for the AI Agents it authorizes and for the actions they take within that authority. iDen2 records and enforces delegation rules as configured. iDen2 does not review whether an AI Agent’s decision is correct or lawful.</w:t>
      </w:r>
    </w:p>
    <w:p>
      <w:pPr>
        <w:pStyle w:val="BodyText"/>
      </w:pPr>
      <w:r>
        <w:rPr>
          <w:bCs/>
          <w:b/>
        </w:rPr>
        <w:t xml:space="preserve">5.4 Keys.</w:t>
      </w:r>
      <w:r>
        <w:t xml:space="preserve"> </w:t>
      </w:r>
      <w:r>
        <w:t xml:space="preserve">Where the Customer controls signing keys or a hardware security module, the Customer is responsible for key management, backup, and recovery. Where iDen2 holds keys for the Customer, the Documentation and Order Form describe the custody model. Loss of a key that only the Customer holds may mean that Credentials can no longer be issued or verified. iDen2 cannot recover it.</w:t>
      </w:r>
    </w:p>
    <w:p>
      <w:pPr>
        <w:pStyle w:val="BodyText"/>
      </w:pPr>
      <w:r>
        <w:rPr>
          <w:bCs/>
          <w:b/>
        </w:rPr>
        <w:t xml:space="preserve">5.5 Cooperation.</w:t>
      </w:r>
      <w:r>
        <w:t xml:space="preserve"> </w:t>
      </w:r>
      <w:r>
        <w:t xml:space="preserve">The Customer will give iDen2 the access, information, decisions, and people reasonably needed to deliver the Platform and Professional Services, on time. If the Customer is late, iDen2’s dates move by the length of the delay, and iDen2 may charge reasonable extra costs the delay causes, if iDen2 told the Customer about the delay in writing.</w:t>
      </w:r>
    </w:p>
    <w:bookmarkEnd w:id="28"/>
    <w:bookmarkStart w:id="29" w:name="professional-services"/>
    <w:p>
      <w:pPr>
        <w:pStyle w:val="Heading1"/>
      </w:pPr>
      <w:r>
        <w:t xml:space="preserve">6. PROFESSIONAL SERVICES</w:t>
      </w:r>
    </w:p>
    <w:p>
      <w:pPr>
        <w:pStyle w:val="FirstParagraph"/>
      </w:pPr>
      <w:r>
        <w:rPr>
          <w:bCs/>
          <w:b/>
        </w:rPr>
        <w:t xml:space="preserve">6.1 SOWs.</w:t>
      </w:r>
      <w:r>
        <w:t xml:space="preserve"> </w:t>
      </w:r>
      <w:r>
        <w:t xml:space="preserve">iDen2 will perform Professional Services as described in each SOW. A SOW is not binding until both parties sign it. Changes to a SOW are made by written Change Order signed by both parties.</w:t>
      </w:r>
    </w:p>
    <w:p>
      <w:pPr>
        <w:pStyle w:val="BodyText"/>
      </w:pPr>
      <w:r>
        <w:rPr>
          <w:bCs/>
          <w:b/>
        </w:rPr>
        <w:t xml:space="preserve">6.2 Personnel.</w:t>
      </w:r>
      <w:r>
        <w:t xml:space="preserve"> </w:t>
      </w:r>
      <w:r>
        <w:t xml:space="preserve">iDen2 chooses and manages the people who do the work, and may use subcontractors, for whom iDen2 stays responsible. The Customer will treat iDen2’s personnel as iDen2’s, not as its employees.</w:t>
      </w:r>
    </w:p>
    <w:p>
      <w:pPr>
        <w:pStyle w:val="BodyText"/>
      </w:pPr>
      <w:r>
        <w:rPr>
          <w:bCs/>
          <w:b/>
        </w:rPr>
        <w:t xml:space="preserve">6.3 Acceptance.</w:t>
      </w:r>
      <w:r>
        <w:t xml:space="preserve"> </w:t>
      </w:r>
      <w:r>
        <w:t xml:space="preserve">Unless the SOW says otherwise, the Customer has 10 business days after delivery of a Deliverable to test it against the acceptance criteria in the SOW and either accept it or give a written list of specific failures. iDen2 will fix valid failures and re-deliver, and the same process repeats. If the Customer does not respond within the 10 business days, or uses the Deliverable in live operations, the Deliverable is accepted.</w:t>
      </w:r>
    </w:p>
    <w:p>
      <w:pPr>
        <w:pStyle w:val="BodyText"/>
      </w:pPr>
      <w:r>
        <w:rPr>
          <w:bCs/>
          <w:b/>
        </w:rPr>
        <w:t xml:space="preserve">6.4 Expenses.</w:t>
      </w:r>
      <w:r>
        <w:t xml:space="preserve"> </w:t>
      </w:r>
      <w:r>
        <w:t xml:space="preserve">The Customer will reimburse reasonable, pre-approved travel and other expenses at cost, with receipts.</w:t>
      </w:r>
    </w:p>
    <w:p>
      <w:pPr>
        <w:pStyle w:val="BodyText"/>
      </w:pPr>
      <w:r>
        <w:rPr>
          <w:bCs/>
          <w:b/>
        </w:rPr>
        <w:t xml:space="preserve">6.5 No hiring away.</w:t>
      </w:r>
      <w:r>
        <w:t xml:space="preserve"> </w:t>
      </w:r>
      <w:r>
        <w:t xml:space="preserve">During the term and for 12 months after, neither party will directly solicit for employment the other party’s employees who worked on the services. General job advertisements, and hiring people who respond to them, do not breach this clause.</w:t>
      </w:r>
    </w:p>
    <w:bookmarkEnd w:id="29"/>
    <w:bookmarkStart w:id="30" w:name="fees-and-payment"/>
    <w:p>
      <w:pPr>
        <w:pStyle w:val="Heading1"/>
      </w:pPr>
      <w:r>
        <w:t xml:space="preserve">7. FEES AND PAYMENT</w:t>
      </w:r>
    </w:p>
    <w:p>
      <w:pPr>
        <w:pStyle w:val="FirstParagraph"/>
      </w:pPr>
      <w:r>
        <w:rPr>
          <w:bCs/>
          <w:b/>
        </w:rPr>
        <w:t xml:space="preserve">7.1 Fees.</w:t>
      </w:r>
      <w:r>
        <w:t xml:space="preserve"> </w:t>
      </w:r>
      <w:r>
        <w:t xml:space="preserve">The Customer will pay the Fees in the Order Form and each SOW. Fees are in US dollars unless the Order Form says otherwise.</w:t>
      </w:r>
    </w:p>
    <w:p>
      <w:pPr>
        <w:pStyle w:val="BodyText"/>
      </w:pPr>
      <w:r>
        <w:rPr>
          <w:bCs/>
          <w:b/>
        </w:rPr>
        <w:t xml:space="preserve">7.2 Invoicing.</w:t>
      </w:r>
      <w:r>
        <w:t xml:space="preserve"> </w:t>
      </w:r>
      <w:r>
        <w:t xml:space="preserve">Unless the Order Form says otherwise: subscription Fees are invoiced annually in advance; Professional Services are invoiced as stated in the SOW; overage and expenses are invoiced monthly in arrears.</w:t>
      </w:r>
    </w:p>
    <w:p>
      <w:pPr>
        <w:pStyle w:val="BodyText"/>
      </w:pPr>
      <w:r>
        <w:rPr>
          <w:bCs/>
          <w:b/>
        </w:rPr>
        <w:t xml:space="preserve">7.3 Payment terms.</w:t>
      </w:r>
      <w:r>
        <w:t xml:space="preserve"> </w:t>
      </w:r>
      <w:r>
        <w:t xml:space="preserve">Invoices are due within 30 days of the invoice date, by bank transfer to the account shown on the invoice. Fees are non-cancellable and non-refundable, except where this Agreement expressly says otherwise.</w:t>
      </w:r>
    </w:p>
    <w:p>
      <w:pPr>
        <w:pStyle w:val="BodyText"/>
      </w:pPr>
      <w:r>
        <w:rPr>
          <w:bCs/>
          <w:b/>
        </w:rPr>
        <w:t xml:space="preserve">7.4 Late payment.</w:t>
      </w:r>
      <w:r>
        <w:t xml:space="preserve"> </w:t>
      </w:r>
      <w:r>
        <w:t xml:space="preserve">Overdue amounts that are not in good-faith dispute earn interest at 1% per month, or the highest rate the law allows if lower. The Customer will also reimburse reasonable collection costs.</w:t>
      </w:r>
    </w:p>
    <w:p>
      <w:pPr>
        <w:pStyle w:val="BodyText"/>
      </w:pPr>
      <w:r>
        <w:rPr>
          <w:bCs/>
          <w:b/>
        </w:rPr>
        <w:t xml:space="preserve">7.5 Disputes.</w:t>
      </w:r>
      <w:r>
        <w:t xml:space="preserve"> </w:t>
      </w:r>
      <w:r>
        <w:t xml:space="preserve">If the Customer disputes an invoice in good faith, it must pay the undisputed part by the due date, and give written notice with reasons within 15 days of receiving the invoice. The parties will work in good faith to resolve it within 30 days.</w:t>
      </w:r>
    </w:p>
    <w:p>
      <w:pPr>
        <w:pStyle w:val="BodyText"/>
      </w:pPr>
      <w:r>
        <w:rPr>
          <w:bCs/>
          <w:b/>
        </w:rPr>
        <w:t xml:space="preserve">7.6 Taxes.</w:t>
      </w:r>
      <w:r>
        <w:t xml:space="preserve"> </w:t>
      </w:r>
      <w:r>
        <w:t xml:space="preserve">Fees do not include taxes. The Customer pays all sales, use, value-added, withholding, and similar taxes, except taxes on iDen2’s net income. If the Customer must withhold tax by law, it must (a) tell iDen2 in advance, (b) pay the withheld amount to the tax authority on time, (c) give iDen2 an official receipt, and (d) increase the payment so that iDen2 receives the full amount it would have received without withholding, unless a valid tax treaty or exemption certificate means no withholding applies.</w:t>
      </w:r>
    </w:p>
    <w:p>
      <w:pPr>
        <w:pStyle w:val="BodyText"/>
      </w:pPr>
      <w:r>
        <w:rPr>
          <w:bCs/>
          <w:b/>
        </w:rPr>
        <w:t xml:space="preserve">7.7 Price changes at renewal.</w:t>
      </w:r>
      <w:r>
        <w:t xml:space="preserve"> </w:t>
      </w:r>
      <w:r>
        <w:t xml:space="preserve">iDen2 may change subscription Fees for a renewal term by giving notice at least 90 days before the renewal date. Unless the Order Form says otherwise, the increase will not be more than [7]% over the previous term’s Fees for the same quantities.</w:t>
      </w:r>
    </w:p>
    <w:bookmarkEnd w:id="30"/>
    <w:bookmarkStart w:id="31" w:name="term-and-renewal"/>
    <w:p>
      <w:pPr>
        <w:pStyle w:val="Heading1"/>
      </w:pPr>
      <w:r>
        <w:t xml:space="preserve">8. TERM AND RENEWAL</w:t>
      </w:r>
    </w:p>
    <w:p>
      <w:pPr>
        <w:pStyle w:val="FirstParagraph"/>
      </w:pPr>
      <w:r>
        <w:rPr>
          <w:bCs/>
          <w:b/>
        </w:rPr>
        <w:t xml:space="preserve">8.1 Agreement term.</w:t>
      </w:r>
      <w:r>
        <w:t xml:space="preserve"> </w:t>
      </w:r>
      <w:r>
        <w:t xml:space="preserve">This Agreement starts on the Effective Date and stays in force until it is ended under Article 16 or until no Order Form or SOW remains in effect for 12 months.</w:t>
      </w:r>
    </w:p>
    <w:p>
      <w:pPr>
        <w:pStyle w:val="BodyText"/>
      </w:pPr>
      <w:r>
        <w:rPr>
          <w:bCs/>
          <w:b/>
        </w:rPr>
        <w:t xml:space="preserve">8.2 Subscription Term.</w:t>
      </w:r>
      <w:r>
        <w:t xml:space="preserve"> </w:t>
      </w:r>
      <w:r>
        <w:t xml:space="preserve">Each Order Form states its own Subscription Term.</w:t>
      </w:r>
    </w:p>
    <w:p>
      <w:pPr>
        <w:pStyle w:val="BodyText"/>
      </w:pPr>
      <w:r>
        <w:rPr>
          <w:bCs/>
          <w:b/>
        </w:rPr>
        <w:t xml:space="preserve">8.3 Renewal.</w:t>
      </w:r>
      <w:r>
        <w:t xml:space="preserve"> </w:t>
      </w:r>
      <w:r>
        <w:t xml:space="preserve">Unless the Order Form says otherwise, each Subscription Term renews automatically for a further period equal to the length of the previous term (but not more than 12 months), unless either party gives written notice not to renew at least 60 days before the term ends.</w:t>
      </w:r>
    </w:p>
    <w:p>
      <w:pPr>
        <w:pStyle w:val="BlockText"/>
      </w:pPr>
      <w:r>
        <w:rPr>
          <w:bCs/>
          <w:b/>
        </w:rPr>
        <w:t xml:space="preserve">Drafting note:</w:t>
      </w:r>
      <w:r>
        <w:t xml:space="preserve"> </w:t>
      </w:r>
      <w:r>
        <w:t xml:space="preserve">Some US states and other countries limit auto-renewal in some contracts. This is a business-to-business form, but check the Customer’s location. If in doubt, replace 8.3 with</w:t>
      </w:r>
      <w:r>
        <w:t xml:space="preserve"> </w:t>
      </w:r>
      <w:r>
        <w:t xml:space="preserve">“</w:t>
      </w:r>
      <w:r>
        <w:t xml:space="preserve">No automatic renewal. Renewal needs a signed Renewal and Amendment (Template 13).</w:t>
      </w:r>
      <w:r>
        <w:t xml:space="preserve">”</w:t>
      </w:r>
    </w:p>
    <w:bookmarkEnd w:id="31"/>
    <w:bookmarkStart w:id="32" w:name="ownership-and-licenses"/>
    <w:p>
      <w:pPr>
        <w:pStyle w:val="Heading1"/>
      </w:pPr>
      <w:r>
        <w:t xml:space="preserve">9. OWNERSHIP AND LICENSES</w:t>
      </w:r>
    </w:p>
    <w:p>
      <w:pPr>
        <w:pStyle w:val="FirstParagraph"/>
      </w:pPr>
      <w:r>
        <w:rPr>
          <w:bCs/>
          <w:b/>
        </w:rPr>
        <w:t xml:space="preserve">9.1 iDen2 owns the Platform.</w:t>
      </w:r>
      <w:r>
        <w:t xml:space="preserve"> </w:t>
      </w:r>
      <w:r>
        <w:t xml:space="preserve">iDen2 and its licensors own the Platform, the Documentation, and all related intellectual property, including improvements and anything built from Feedback. Except for the access right in Article 4, no rights are given to the Customer.</w:t>
      </w:r>
    </w:p>
    <w:p>
      <w:pPr>
        <w:pStyle w:val="BodyText"/>
      </w:pPr>
      <w:r>
        <w:rPr>
          <w:bCs/>
          <w:b/>
        </w:rPr>
        <w:t xml:space="preserve">9.2 The Customer owns Customer Data.</w:t>
      </w:r>
      <w:r>
        <w:t xml:space="preserve"> </w:t>
      </w:r>
      <w:r>
        <w:t xml:space="preserve">The Customer owns Customer Data. The Customer gives iDen2 a worldwide, non-exclusive right to host, process, copy, and transmit Customer Data only to provide the Platform and Services to the Customer, to keep them secure, to meet legal duties, and as the Customer instructs.</w:t>
      </w:r>
    </w:p>
    <w:p>
      <w:pPr>
        <w:pStyle w:val="BodyText"/>
      </w:pPr>
      <w:r>
        <w:rPr>
          <w:bCs/>
          <w:b/>
        </w:rPr>
        <w:t xml:space="preserve">9.3 No use of Customer Data to train models for others.</w:t>
      </w:r>
      <w:r>
        <w:t xml:space="preserve"> </w:t>
      </w:r>
      <w:r>
        <w:t xml:space="preserve">[iDen2 will not use Customer Data, or Personal Data in it, to train machine learning or AI models that are made available to anyone other than the Customer.]</w:t>
      </w:r>
    </w:p>
    <w:p>
      <w:pPr>
        <w:pStyle w:val="BlockText"/>
      </w:pPr>
      <w:r>
        <w:rPr>
          <w:bCs/>
          <w:b/>
        </w:rPr>
        <w:t xml:space="preserve">Drafting note:</w:t>
      </w:r>
      <w:r>
        <w:t xml:space="preserve"> </w:t>
      </w:r>
      <w:r>
        <w:t xml:space="preserve">Confirm with the CTO that this is true of the Platform before you leave 9.3 in. If it is not true, delete it. Do not promise it unverified.</w:t>
      </w:r>
    </w:p>
    <w:p>
      <w:pPr>
        <w:pStyle w:val="FirstParagraph"/>
      </w:pPr>
      <w:r>
        <w:rPr>
          <w:bCs/>
          <w:b/>
        </w:rPr>
        <w:t xml:space="preserve">9.4 Usage Data.</w:t>
      </w:r>
      <w:r>
        <w:t xml:space="preserve"> </w:t>
      </w:r>
      <w:r>
        <w:t xml:space="preserve">iDen2 owns Usage Data and may use it to run, secure, support, and improve the Platform and its services. iDen2 will not share Usage Data in a way that identifies the Customer or any individual.</w:t>
      </w:r>
    </w:p>
    <w:p>
      <w:pPr>
        <w:pStyle w:val="BodyText"/>
      </w:pPr>
      <w:r>
        <w:rPr>
          <w:bCs/>
          <w:b/>
        </w:rPr>
        <w:t xml:space="preserve">9.5 Feedback.</w:t>
      </w:r>
      <w:r>
        <w:t xml:space="preserve"> </w:t>
      </w:r>
      <w:r>
        <w:t xml:space="preserve">If the Customer gives iDen2 suggestions or feedback, iDen2 may use them freely without payment or credit. Feedback is not Customer Data or the Customer’s Confidential Information.</w:t>
      </w:r>
    </w:p>
    <w:p>
      <w:pPr>
        <w:pStyle w:val="BodyText"/>
      </w:pPr>
      <w:r>
        <w:rPr>
          <w:bCs/>
          <w:b/>
        </w:rPr>
        <w:t xml:space="preserve">9.6 Deliverables.</w:t>
      </w:r>
      <w:r>
        <w:t xml:space="preserve"> </w:t>
      </w:r>
      <w:r>
        <w:t xml:space="preserve">When the Customer has paid for a Deliverable in full, iDen2 gives the Customer a non-exclusive, perpetual (but ending with its Platform right where the Deliverable depends on the Platform), worldwide right to use the Deliverable for the Customer’s internal business purposes. iDen2 keeps ownership of its pre-existing materials, tools, methods, and general know-how, and of anything it develops that is not specific to the Customer’s Confidential Information. [OPTION: The parties agree that iDen2 assigns ownership of the Deliverables listed in the SOW as</w:t>
      </w:r>
      <w:r>
        <w:t xml:space="preserve"> </w:t>
      </w:r>
      <w:r>
        <w:t xml:space="preserve">“</w:t>
      </w:r>
      <w:r>
        <w:t xml:space="preserve">Customer-Owned</w:t>
      </w:r>
      <w:r>
        <w:t xml:space="preserve">”</w:t>
      </w:r>
      <w:r>
        <w:t xml:space="preserve"> </w:t>
      </w:r>
      <w:r>
        <w:t xml:space="preserve">to the Customer on payment in full. iDen2 keeps a license to reuse its general know-how.]</w:t>
      </w:r>
    </w:p>
    <w:p>
      <w:pPr>
        <w:pStyle w:val="BodyText"/>
      </w:pPr>
      <w:r>
        <w:rPr>
          <w:bCs/>
          <w:b/>
        </w:rPr>
        <w:t xml:space="preserve">9.7 Public-by-design records.</w:t>
      </w:r>
      <w:r>
        <w:t xml:space="preserve"> </w:t>
      </w:r>
      <w:r>
        <w:t xml:space="preserve">The Customer understands that some records used in digital identity systems are public or shared by design and may not be deletable once published. Examples include decentralized identifiers (DIDs), issuer public keys, schema definitions, status or revocation lists, and entries in trust registries or distributed ledgers. The Customer must not place Personal Data or Confidential Information in those public records. iDen2 is not responsible for the content, availability, or permanence of public networks or registries that it does not operate.</w:t>
      </w:r>
    </w:p>
    <w:bookmarkEnd w:id="32"/>
    <w:bookmarkStart w:id="33" w:name="data-protection-and-security"/>
    <w:p>
      <w:pPr>
        <w:pStyle w:val="Heading1"/>
      </w:pPr>
      <w:r>
        <w:t xml:space="preserve">10. DATA PROTECTION AND SECURITY</w:t>
      </w:r>
    </w:p>
    <w:p>
      <w:pPr>
        <w:pStyle w:val="FirstParagraph"/>
      </w:pPr>
      <w:r>
        <w:rPr>
          <w:bCs/>
          <w:b/>
        </w:rPr>
        <w:t xml:space="preserve">10.1 Data Processing Addendum.</w:t>
      </w:r>
      <w:r>
        <w:t xml:space="preserve"> </w:t>
      </w:r>
      <w:r>
        <w:t xml:space="preserve">The Data Processing Addendum (Template 08) applies when iDen2 processes Personal Data for the Customer. [It is signed with this Agreement and forms part of it.]</w:t>
      </w:r>
    </w:p>
    <w:p>
      <w:pPr>
        <w:pStyle w:val="BodyText"/>
      </w:pPr>
      <w:r>
        <w:rPr>
          <w:bCs/>
          <w:b/>
        </w:rPr>
        <w:t xml:space="preserve">10.2 Security program.</w:t>
      </w:r>
      <w:r>
        <w:t xml:space="preserve"> </w:t>
      </w:r>
      <w:r>
        <w:t xml:space="preserve">iDen2 will keep administrative, technical, and physical safeguards for the Platform that follow the Security Addendum (Template 10) and are appropriate to the risks.</w:t>
      </w:r>
    </w:p>
    <w:p>
      <w:pPr>
        <w:pStyle w:val="BodyText"/>
      </w:pPr>
      <w:r>
        <w:rPr>
          <w:bCs/>
          <w:b/>
        </w:rPr>
        <w:t xml:space="preserve">10.3 Security Incidents.</w:t>
      </w:r>
      <w:r>
        <w:t xml:space="preserve"> </w:t>
      </w:r>
      <w:r>
        <w:t xml:space="preserve">If iDen2 learns of a Security Incident, it will tell the Customer without undue delay and no later than [72] hours after confirming it, will give the information it has that the Customer needs to meet its own legal duties, and will take reasonable steps to contain and fix the cause. A notice of a Security Incident is not an admission of fault.</w:t>
      </w:r>
    </w:p>
    <w:p>
      <w:pPr>
        <w:pStyle w:val="BodyText"/>
      </w:pPr>
      <w:r>
        <w:rPr>
          <w:bCs/>
          <w:b/>
        </w:rPr>
        <w:t xml:space="preserve">10.4 Data location.</w:t>
      </w:r>
      <w:r>
        <w:t xml:space="preserve"> </w:t>
      </w:r>
      <w:r>
        <w:t xml:space="preserve">iDen2 will host Customer Data in the region stated in the Order Form (or, if none, in the United States) and will not move it to another region without telling the Customer, except to support, secure, or restore the Platform in an emergency.</w:t>
      </w:r>
    </w:p>
    <w:p>
      <w:pPr>
        <w:pStyle w:val="BodyText"/>
      </w:pPr>
      <w:r>
        <w:rPr>
          <w:bCs/>
          <w:b/>
        </w:rPr>
        <w:t xml:space="preserve">10.5 Regulated data.</w:t>
      </w:r>
      <w:r>
        <w:t xml:space="preserve"> </w:t>
      </w:r>
      <w:r>
        <w:t xml:space="preserve">The Customer must not put the following into the Platform unless the Order Form allows it: payment card data, protected health information, or government classified information.</w:t>
      </w:r>
    </w:p>
    <w:bookmarkEnd w:id="33"/>
    <w:bookmarkStart w:id="34" w:name="third-party-and-open-source-components"/>
    <w:p>
      <w:pPr>
        <w:pStyle w:val="Heading1"/>
      </w:pPr>
      <w:r>
        <w:t xml:space="preserve">11. THIRD-PARTY AND OPEN-SOURCE COMPONENTS</w:t>
      </w:r>
    </w:p>
    <w:p>
      <w:pPr>
        <w:pStyle w:val="FirstParagraph"/>
      </w:pPr>
      <w:r>
        <w:rPr>
          <w:bCs/>
          <w:b/>
        </w:rPr>
        <w:t xml:space="preserve">11.1 Open source.</w:t>
      </w:r>
      <w:r>
        <w:t xml:space="preserve"> </w:t>
      </w:r>
      <w:r>
        <w:t xml:space="preserve">The Platform contains open-source software. That software is governed by its own license, which applies instead of this Agreement for that component. iDen2’s Documentation lists the main components on request.</w:t>
      </w:r>
    </w:p>
    <w:p>
      <w:pPr>
        <w:pStyle w:val="BodyText"/>
      </w:pPr>
      <w:r>
        <w:rPr>
          <w:bCs/>
          <w:b/>
        </w:rPr>
        <w:t xml:space="preserve">11.2 Third-party services.</w:t>
      </w:r>
      <w:r>
        <w:t xml:space="preserve"> </w:t>
      </w:r>
      <w:r>
        <w:t xml:space="preserve">The Platform may work with third-party services such as cloud hosting, hardware security modules, app stores, ledgers, identity proofing providers, and government or industry trust lists. iDen2 is responsible for the services it subcontracts to deliver the Platform. iDen2 is not responsible for third-party services that the Customer chooses or that iDen2 does not control, and those services are subject to their own terms.</w:t>
      </w:r>
    </w:p>
    <w:bookmarkEnd w:id="34"/>
    <w:bookmarkStart w:id="35" w:name="confidentiality"/>
    <w:p>
      <w:pPr>
        <w:pStyle w:val="Heading1"/>
      </w:pPr>
      <w:r>
        <w:t xml:space="preserve">12. CONFIDENTIALITY</w:t>
      </w:r>
    </w:p>
    <w:p>
      <w:pPr>
        <w:pStyle w:val="FirstParagraph"/>
      </w:pPr>
      <w:r>
        <w:rPr>
          <w:bCs/>
          <w:b/>
        </w:rPr>
        <w:t xml:space="preserve">12.1 What it covers.</w:t>
      </w:r>
      <w:r>
        <w:t xml:space="preserve"> </w:t>
      </w:r>
      <w:r>
        <w:t xml:space="preserve">“</w:t>
      </w:r>
      <w:r>
        <w:rPr>
          <w:bCs/>
          <w:b/>
        </w:rPr>
        <w:t xml:space="preserve">Confidential Information</w:t>
      </w:r>
      <w:r>
        <w:t xml:space="preserve">”</w:t>
      </w:r>
      <w:r>
        <w:t xml:space="preserve"> </w:t>
      </w:r>
      <w:r>
        <w:t xml:space="preserve">is non-public information that a party (the</w:t>
      </w:r>
      <w:r>
        <w:t xml:space="preserve"> </w:t>
      </w:r>
      <w:r>
        <w:t xml:space="preserve">“</w:t>
      </w:r>
      <w:r>
        <w:rPr>
          <w:bCs/>
          <w:b/>
        </w:rPr>
        <w:t xml:space="preserve">Discloser</w:t>
      </w:r>
      <w:r>
        <w:t xml:space="preserve">”</w:t>
      </w:r>
      <w:r>
        <w:t xml:space="preserve">) shares with the other (the</w:t>
      </w:r>
      <w:r>
        <w:t xml:space="preserve"> </w:t>
      </w:r>
      <w:r>
        <w:t xml:space="preserve">“</w:t>
      </w:r>
      <w:r>
        <w:rPr>
          <w:bCs/>
          <w:b/>
        </w:rPr>
        <w:t xml:space="preserve">Recipient</w:t>
      </w:r>
      <w:r>
        <w:t xml:space="preserve">”</w:t>
      </w:r>
      <w:r>
        <w:t xml:space="preserve">) and that is marked confidential or that a reasonable person would understand to be confidential. For iDen2 it includes Platform architecture, source code, security documents, pricing, and roadmap. For the Customer it includes Customer Data.</w:t>
      </w:r>
    </w:p>
    <w:p>
      <w:pPr>
        <w:pStyle w:val="BodyText"/>
      </w:pPr>
      <w:r>
        <w:rPr>
          <w:bCs/>
          <w:b/>
        </w:rPr>
        <w:t xml:space="preserve">12.2 What the Recipient must do.</w:t>
      </w:r>
      <w:r>
        <w:t xml:space="preserve"> </w:t>
      </w:r>
      <w:r>
        <w:t xml:space="preserve">The Recipient will: (a) use Confidential Information only to perform or use this Agreement; (b) protect it with at least the care it uses for its own similar information, and no less than reasonable care; and (c) share it only with its employees, Affiliates, contractors, and advisers who need to know it and who are bound by confidentiality duties at least as protective as these.</w:t>
      </w:r>
    </w:p>
    <w:p>
      <w:pPr>
        <w:pStyle w:val="BodyText"/>
      </w:pPr>
      <w:r>
        <w:rPr>
          <w:bCs/>
          <w:b/>
        </w:rPr>
        <w:t xml:space="preserve">12.3 Exceptions.</w:t>
      </w:r>
      <w:r>
        <w:t xml:space="preserve"> </w:t>
      </w:r>
      <w:r>
        <w:t xml:space="preserve">The duty does not cover information that: (a) is or becomes public without the Recipient’s fault; (b) the Recipient already knew without restriction; (c) the Recipient gets from a third party without restriction; or (d) the Recipient develops on its own without using the Discloser’s information.</w:t>
      </w:r>
    </w:p>
    <w:p>
      <w:pPr>
        <w:pStyle w:val="BodyText"/>
      </w:pPr>
      <w:r>
        <w:rPr>
          <w:bCs/>
          <w:b/>
        </w:rPr>
        <w:t xml:space="preserve">12.4 Required by law.</w:t>
      </w:r>
      <w:r>
        <w:t xml:space="preserve"> </w:t>
      </w:r>
      <w:r>
        <w:t xml:space="preserve">The Recipient may disclose Confidential Information if the law or a court requires it, if it gives the Discloser prompt notice (where the law allows) and helps the Discloser seek protection.</w:t>
      </w:r>
    </w:p>
    <w:p>
      <w:pPr>
        <w:pStyle w:val="BodyText"/>
      </w:pPr>
      <w:r>
        <w:rPr>
          <w:bCs/>
          <w:b/>
        </w:rPr>
        <w:t xml:space="preserve">12.5 Duration.</w:t>
      </w:r>
      <w:r>
        <w:t xml:space="preserve"> </w:t>
      </w:r>
      <w:r>
        <w:t xml:space="preserve">The duties last for the term and 5 years after it ends. For trade secrets and Customer Data, they last as long as the information stays a trade secret or remains Customer Data.</w:t>
      </w:r>
    </w:p>
    <w:p>
      <w:pPr>
        <w:pStyle w:val="BodyText"/>
      </w:pPr>
      <w:r>
        <w:rPr>
          <w:bCs/>
          <w:b/>
        </w:rPr>
        <w:t xml:space="preserve">12.6 Return.</w:t>
      </w:r>
      <w:r>
        <w:t xml:space="preserve"> </w:t>
      </w:r>
      <w:r>
        <w:t xml:space="preserve">On request after the term ends, the Recipient will return or delete the Discloser’s Confidential Information, except for copies in routine backups or that it must keep by law, which stay protected under this Article.</w:t>
      </w:r>
    </w:p>
    <w:p>
      <w:pPr>
        <w:pStyle w:val="BodyText"/>
      </w:pPr>
      <w:r>
        <w:rPr>
          <w:bCs/>
          <w:b/>
        </w:rPr>
        <w:t xml:space="preserve">12.7 Investors and buyers.</w:t>
      </w:r>
      <w:r>
        <w:t xml:space="preserve"> </w:t>
      </w:r>
      <w:r>
        <w:t xml:space="preserve">Either party may share this Agreement’s terms, under confidentiality duties, with its actual or planned investors, lenders, acquirers, and their advisers.</w:t>
      </w:r>
    </w:p>
    <w:bookmarkEnd w:id="35"/>
    <w:bookmarkStart w:id="36" w:name="warranties-and-disclaimers"/>
    <w:p>
      <w:pPr>
        <w:pStyle w:val="Heading1"/>
      </w:pPr>
      <w:r>
        <w:t xml:space="preserve">13. WARRANTIES AND DISCLAIMERS</w:t>
      </w:r>
    </w:p>
    <w:p>
      <w:pPr>
        <w:pStyle w:val="FirstParagraph"/>
      </w:pPr>
      <w:r>
        <w:rPr>
          <w:bCs/>
          <w:b/>
        </w:rPr>
        <w:t xml:space="preserve">13.1 Mutual.</w:t>
      </w:r>
      <w:r>
        <w:t xml:space="preserve"> </w:t>
      </w:r>
      <w:r>
        <w:t xml:space="preserve">Each party confirms that it has authority to enter this Agreement, and that doing so does not breach any other agreement binding it.</w:t>
      </w:r>
    </w:p>
    <w:p>
      <w:pPr>
        <w:pStyle w:val="BodyText"/>
      </w:pPr>
      <w:r>
        <w:rPr>
          <w:bCs/>
          <w:b/>
        </w:rPr>
        <w:t xml:space="preserve">13.2 iDen2 warranties.</w:t>
      </w:r>
      <w:r>
        <w:t xml:space="preserve"> </w:t>
      </w:r>
      <w:r>
        <w:t xml:space="preserve">iDen2 promises that: (a) during the Subscription Term, the Platform will materially match its Documentation; (b) it will perform Professional Services in a professional and skilled way; and (c) it will use reasonable industry measures to keep known malicious code out of the Platform.</w:t>
      </w:r>
    </w:p>
    <w:p>
      <w:pPr>
        <w:pStyle w:val="BodyText"/>
      </w:pPr>
      <w:r>
        <w:rPr>
          <w:bCs/>
          <w:b/>
        </w:rPr>
        <w:t xml:space="preserve">13.3 Remedy.</w:t>
      </w:r>
      <w:r>
        <w:t xml:space="preserve"> </w:t>
      </w:r>
      <w:r>
        <w:t xml:space="preserve">If the Customer tells iDen2 in writing of a breach of 13.2 during the Subscription Term (or, for Professional Services, within 60 days of delivery), iDen2 will fix it or re-perform the service. If iDen2 cannot do so within 30 days, either party may end the affected Order Form or SOW, and iDen2 will refund prepaid Fees for the period after termination (or the fees paid for the failed services). This is the Customer’s only remedy for a breach of 13.2.</w:t>
      </w:r>
    </w:p>
    <w:p>
      <w:pPr>
        <w:pStyle w:val="BodyText"/>
      </w:pPr>
      <w:r>
        <w:rPr>
          <w:bCs/>
          <w:b/>
        </w:rPr>
        <w:t xml:space="preserve">13.4 Customer warranties.</w:t>
      </w:r>
      <w:r>
        <w:t xml:space="preserve"> </w:t>
      </w:r>
      <w:r>
        <w:t xml:space="preserve">The Customer promises that: (a) it has the rights and legal basis needed to use Customer Data as this Agreement requires; (b) its use of the Platform follows Applicable Law and Exhibit A.</w:t>
      </w:r>
    </w:p>
    <w:p>
      <w:pPr>
        <w:pStyle w:val="BodyText"/>
      </w:pPr>
      <w:r>
        <w:rPr>
          <w:bCs/>
          <w:b/>
        </w:rPr>
        <w:t xml:space="preserve">13.5 Disclaimer.</w:t>
      </w:r>
      <w:r>
        <w:t xml:space="preserve"> </w:t>
      </w:r>
      <w:r>
        <w:t xml:space="preserve">Except for the promises in this Agreement, the Platform and services are provided</w:t>
      </w:r>
      <w:r>
        <w:t xml:space="preserve"> </w:t>
      </w:r>
      <w:r>
        <w:t xml:space="preserve">“</w:t>
      </w:r>
      <w:r>
        <w:t xml:space="preserve">as is</w:t>
      </w:r>
      <w:r>
        <w:t xml:space="preserve">”</w:t>
      </w:r>
      <w:r>
        <w:t xml:space="preserve">. iDen2 gives no other warranties, including any implied warranty of merchantability, fitness for a particular purpose, non-infringement, or that the Platform will be error-free or never interrupted.</w:t>
      </w:r>
    </w:p>
    <w:p>
      <w:pPr>
        <w:pStyle w:val="BodyText"/>
      </w:pPr>
      <w:r>
        <w:rPr>
          <w:bCs/>
          <w:b/>
        </w:rPr>
        <w:t xml:space="preserve">13.6 No compliance or assurance guarantee.</w:t>
      </w:r>
      <w:r>
        <w:t xml:space="preserve"> </w:t>
      </w:r>
      <w:r>
        <w:t xml:space="preserve">The Platform is built to support well-known standards (for example W3C Verifiable Credentials, OpenID4VC, ISO 18013-5, and the eIDAS 2.0 framework). Unless an Order Form says so expressly, iDen2 does not promise that the Platform, or the Customer’s use of it, is certified or approved under any standard, scheme, or law, or that it meets any particular identity assurance level. The Customer is responsible for deciding whether its own use meets the rules that apply to it, and for any audit, certification, or approval it needs.</w:t>
      </w:r>
    </w:p>
    <w:bookmarkEnd w:id="36"/>
    <w:bookmarkStart w:id="37" w:name="indemnities"/>
    <w:p>
      <w:pPr>
        <w:pStyle w:val="Heading1"/>
      </w:pPr>
      <w:r>
        <w:t xml:space="preserve">14. INDEMNITIES</w:t>
      </w:r>
    </w:p>
    <w:p>
      <w:pPr>
        <w:pStyle w:val="FirstParagraph"/>
      </w:pPr>
      <w:r>
        <w:rPr>
          <w:bCs/>
          <w:b/>
        </w:rPr>
        <w:t xml:space="preserve">14.1 By iDen2.</w:t>
      </w:r>
      <w:r>
        <w:t xml:space="preserve"> </w:t>
      </w:r>
      <w:r>
        <w:t xml:space="preserve">iDen2 will defend the Customer against any claim by a third party that the Platform, as delivered by iDen2 and used under this Agreement, infringes that third party’s patent, copyright, trademark, or trade secret, and will pay damages and costs finally awarded or agreed in settlement.</w:t>
      </w:r>
    </w:p>
    <w:p>
      <w:pPr>
        <w:pStyle w:val="BodyText"/>
      </w:pPr>
      <w:r>
        <w:rPr>
          <w:bCs/>
          <w:b/>
        </w:rPr>
        <w:t xml:space="preserve">14.2 What iDen2 does not cover.</w:t>
      </w:r>
      <w:r>
        <w:t xml:space="preserve"> </w:t>
      </w:r>
      <w:r>
        <w:t xml:space="preserve">iDen2 has no duty under 14.1 for a claim caused by: (a) Customer Data; (b) changes to the Platform not made by iDen2; (c) use with products or data not supplied by iDen2, where the claim would not have arisen without that combination; (d) use that breaches this Agreement; (e) a pre-release feature; or (f) the Customer’s continued use after iDen2 gave a non-infringing alternative.</w:t>
      </w:r>
    </w:p>
    <w:p>
      <w:pPr>
        <w:pStyle w:val="BodyText"/>
      </w:pPr>
      <w:r>
        <w:rPr>
          <w:bCs/>
          <w:b/>
        </w:rPr>
        <w:t xml:space="preserve">14.3 If a claim is made.</w:t>
      </w:r>
      <w:r>
        <w:t xml:space="preserve"> </w:t>
      </w:r>
      <w:r>
        <w:t xml:space="preserve">If the Platform becomes, or iDen2 thinks it may become, the subject of an infringement claim, iDen2 may: (a) get the right for the Customer to keep using it; (b) change it so it does not infringe, with substantially the same function; or (c) if neither is reasonably possible, end the affected rights on 30 days’ notice and refund prepaid Fees for the period after termination.</w:t>
      </w:r>
    </w:p>
    <w:p>
      <w:pPr>
        <w:pStyle w:val="BodyText"/>
      </w:pPr>
      <w:r>
        <w:rPr>
          <w:bCs/>
          <w:b/>
        </w:rPr>
        <w:t xml:space="preserve">14.4 By the Customer.</w:t>
      </w:r>
      <w:r>
        <w:t xml:space="preserve"> </w:t>
      </w:r>
      <w:r>
        <w:t xml:space="preserve">The Customer will defend iDen2 against any claim by a third party (including a Holder, a relying party, or a regulator) arising from: (a) Customer Data, or the Customer’s right to use it; (b) the Customer’s breach of Exhibit A or Applicable Law; or (c) the Customer’s decisions on issuing, verifying, or revoking Credentials, or the actions of AI Agents the Customer authorizes, except to the extent the claim is caused by a defect in the Platform covered by iDen2’s warranty in 13.2. The Customer will pay damages and costs finally awarded or agreed in settlement.</w:t>
      </w:r>
    </w:p>
    <w:p>
      <w:pPr>
        <w:pStyle w:val="BodyText"/>
      </w:pPr>
      <w:r>
        <w:rPr>
          <w:bCs/>
          <w:b/>
        </w:rPr>
        <w:t xml:space="preserve">14.5 Process.</w:t>
      </w:r>
      <w:r>
        <w:t xml:space="preserve"> </w:t>
      </w:r>
      <w:r>
        <w:t xml:space="preserve">The party seeking protection must: (a) tell the other promptly in writing of the claim (late notice only reduces the indemnity to the extent the other party is harmed); (b) let the other party control the defense and settlement; and (c) give reasonable help at the other party’s cost. A party may not settle in a way that admits fault by, or puts non-money duties on, the protected party without that party’s consent (not to be unreasonably withheld).</w:t>
      </w:r>
    </w:p>
    <w:p>
      <w:pPr>
        <w:pStyle w:val="BodyText"/>
      </w:pPr>
      <w:r>
        <w:rPr>
          <w:bCs/>
          <w:b/>
        </w:rPr>
        <w:t xml:space="preserve">14.6 Sole remedy.</w:t>
      </w:r>
      <w:r>
        <w:t xml:space="preserve"> </w:t>
      </w:r>
      <w:r>
        <w:t xml:space="preserve">This Article states each party’s entire liability and the other party’s only remedy for third-party intellectual property claims.</w:t>
      </w:r>
    </w:p>
    <w:bookmarkEnd w:id="37"/>
    <w:bookmarkStart w:id="38" w:name="limits-on-liability"/>
    <w:p>
      <w:pPr>
        <w:pStyle w:val="Heading1"/>
      </w:pPr>
      <w:r>
        <w:t xml:space="preserve">15. LIMITS ON LIABILITY</w:t>
      </w:r>
    </w:p>
    <w:p>
      <w:pPr>
        <w:pStyle w:val="BlockText"/>
      </w:pPr>
      <w:r>
        <w:rPr>
          <w:bCs/>
          <w:b/>
        </w:rPr>
        <w:t xml:space="preserve">Drafting note:</w:t>
      </w:r>
      <w:r>
        <w:t xml:space="preserve"> </w:t>
      </w:r>
      <w:r>
        <w:t xml:space="preserve">This article is the most negotiated. Do not change numbers without using the fallback ladder in the Template Guide.</w:t>
      </w:r>
    </w:p>
    <w:p>
      <w:pPr>
        <w:pStyle w:val="FirstParagraph"/>
      </w:pPr>
      <w:r>
        <w:rPr>
          <w:bCs/>
          <w:b/>
        </w:rPr>
        <w:t xml:space="preserve">15.1 No indirect losses.</w:t>
      </w:r>
      <w:r>
        <w:t xml:space="preserve"> </w:t>
      </w:r>
      <w:r>
        <w:t xml:space="preserve">NEITHER PARTY IS LIABLE TO THE OTHER FOR INDIRECT, INCIDENTAL, SPECIAL, EXEMPLARY, PUNITIVE, OR CONSEQUENTIAL DAMAGES, OR FOR LOST PROFITS, LOST REVENUE, LOST GOODWILL, OR LOST SAVINGS, HOWEVER CAUSED AND UNDER ANY THEORY OF LIABILITY, EVEN IF TOLD THEY MIGHT OCCUR.</w:t>
      </w:r>
    </w:p>
    <w:p>
      <w:pPr>
        <w:pStyle w:val="BodyText"/>
      </w:pPr>
      <w:r>
        <w:rPr>
          <w:bCs/>
          <w:b/>
        </w:rPr>
        <w:t xml:space="preserve">15.2 Cap.</w:t>
      </w:r>
      <w:r>
        <w:t xml:space="preserve"> </w:t>
      </w:r>
      <w:r>
        <w:t xml:space="preserve">EACH PARTY’S TOTAL LIABILITY ARISING OUT OF OR RELATED TO THIS AGREEMENT, UNDER ANY THEORY OF LIABILITY, IS LIMITED TO THE FEES PAID AND PAYABLE UNDER THE ORDER FORM OR SOW THAT GAVE RISE TO THE CLAIM IN THE 12 MONTHS BEFORE THE EVENT THAT FIRST GAVE RISE TO LIABILITY. THE LIMIT IS A TOTAL FOR ALL CLAIMS, NOT PER CLAIM.</w:t>
      </w:r>
    </w:p>
    <w:p>
      <w:pPr>
        <w:pStyle w:val="BodyText"/>
      </w:pPr>
      <w:r>
        <w:rPr>
          <w:bCs/>
          <w:b/>
        </w:rPr>
        <w:t xml:space="preserve">15.3 Exceptions.</w:t>
      </w:r>
      <w:r>
        <w:t xml:space="preserve"> </w:t>
      </w:r>
      <w:r>
        <w:t xml:space="preserve">Sections 15.1 and 15.2 do not limit: (a) the Customer’s duty to pay Fees; (b) liability for fraud, gross negligence, or willful misconduct; (c) liability that cannot be limited by law; or (d) the Customer’s infringement or misuse of iDen2’s intellectual property or breach of Section 4.4.</w:t>
      </w:r>
    </w:p>
    <w:p>
      <w:pPr>
        <w:pStyle w:val="BodyText"/>
      </w:pPr>
      <w:r>
        <w:t xml:space="preserve">**15.4 [OPTIONAL: Data protection super-cap.** For a breach of Article 12 (Confidentiality) or Article 10 (Data Protection and Security), and for iDen2’s indemnity in Section 14.1, iDen2’s total liability is limited to [TWO (2)] TIMES the Fees described in 15.2. This is separate from, and in place of, the cap in 15.2 for those claims.]</w:t>
      </w:r>
    </w:p>
    <w:p>
      <w:pPr>
        <w:pStyle w:val="BodyText"/>
      </w:pPr>
      <w:r>
        <w:rPr>
          <w:bCs/>
          <w:b/>
        </w:rPr>
        <w:t xml:space="preserve">15.5 Fairness.</w:t>
      </w:r>
      <w:r>
        <w:t xml:space="preserve"> </w:t>
      </w:r>
      <w:r>
        <w:t xml:space="preserve">The parties have priced this Agreement based on these limits and agree they are a fair split of risk.</w:t>
      </w:r>
    </w:p>
    <w:bookmarkEnd w:id="38"/>
    <w:bookmarkStart w:id="39" w:name="ending-the-agreement"/>
    <w:p>
      <w:pPr>
        <w:pStyle w:val="Heading1"/>
      </w:pPr>
      <w:r>
        <w:t xml:space="preserve">16. ENDING THE AGREEMENT</w:t>
      </w:r>
    </w:p>
    <w:p>
      <w:pPr>
        <w:pStyle w:val="FirstParagraph"/>
      </w:pPr>
      <w:r>
        <w:rPr>
          <w:bCs/>
          <w:b/>
        </w:rPr>
        <w:t xml:space="preserve">16.1 For breach.</w:t>
      </w:r>
      <w:r>
        <w:t xml:space="preserve"> </w:t>
      </w:r>
      <w:r>
        <w:t xml:space="preserve">Either party may end this Agreement or an affected Order Form or SOW by written notice if the other party materially breaches it and does not fix the breach within 30 days of written notice that describes it.</w:t>
      </w:r>
    </w:p>
    <w:p>
      <w:pPr>
        <w:pStyle w:val="BodyText"/>
      </w:pPr>
      <w:r>
        <w:rPr>
          <w:bCs/>
          <w:b/>
        </w:rPr>
        <w:t xml:space="preserve">16.2 For insolvency.</w:t>
      </w:r>
      <w:r>
        <w:t xml:space="preserve"> </w:t>
      </w:r>
      <w:r>
        <w:t xml:space="preserve">Either party may end this Agreement by written notice if the other becomes insolvent, makes an assignment for the benefit of creditors, or is subject to bankruptcy or similar proceedings that are not dismissed within 60 days.</w:t>
      </w:r>
    </w:p>
    <w:p>
      <w:pPr>
        <w:pStyle w:val="BodyText"/>
      </w:pPr>
      <w:r>
        <w:rPr>
          <w:bCs/>
          <w:b/>
        </w:rPr>
        <w:t xml:space="preserve">16.3 No termination for convenience.</w:t>
      </w:r>
      <w:r>
        <w:t xml:space="preserve"> </w:t>
      </w:r>
      <w:r>
        <w:t xml:space="preserve">Unless an Order Form says so, neither party may end an Order Form early without cause. Fees for the full Subscription Term stay payable.</w:t>
      </w:r>
    </w:p>
    <w:p>
      <w:pPr>
        <w:pStyle w:val="BodyText"/>
      </w:pPr>
      <w:r>
        <w:rPr>
          <w:bCs/>
          <w:b/>
        </w:rPr>
        <w:t xml:space="preserve">16.4 What happens on ending.</w:t>
      </w:r>
      <w:r>
        <w:t xml:space="preserve"> </w:t>
      </w:r>
      <w:r>
        <w:t xml:space="preserve">When this Agreement or an Order Form ends: (a) the Customer’s right to use the Platform ends, other than for the transition period in 16.5; (b) the Customer will pay all Fees due up to the end date, and, if iDen2 ended for the Customer’s breach or the Customer ended other than under 13.3 or 16.1, all remaining Fees for the Subscription Term; and (c) if the Customer ended for iDen2’s uncured breach, or iDen2 ended for convenience (if allowed), iDen2 will refund prepaid Fees for the period after the end date.</w:t>
      </w:r>
    </w:p>
    <w:p>
      <w:pPr>
        <w:pStyle w:val="BodyText"/>
      </w:pPr>
      <w:r>
        <w:rPr>
          <w:bCs/>
          <w:b/>
        </w:rPr>
        <w:t xml:space="preserve">16.5 Data return and transition.</w:t>
      </w:r>
      <w:r>
        <w:t xml:space="preserve"> </w:t>
      </w:r>
      <w:r>
        <w:t xml:space="preserve">For 30 days after the end date, iDen2 will let the Customer export Customer Data in a standard machine-readable format. After that, iDen2 will delete Customer Data within 90 days, except for backups that are deleted on their normal cycle and data iDen2 must keep by law. At the Customer’s request and cost (at iDen2’s then-current professional services rates), iDen2 will help with an orderly transition.</w:t>
      </w:r>
    </w:p>
    <w:p>
      <w:pPr>
        <w:pStyle w:val="BodyText"/>
      </w:pPr>
      <w:r>
        <w:rPr>
          <w:bCs/>
          <w:b/>
        </w:rPr>
        <w:t xml:space="preserve">16.6 Credential continuity.</w:t>
      </w:r>
      <w:r>
        <w:t xml:space="preserve"> </w:t>
      </w:r>
      <w:r>
        <w:t xml:space="preserve">Credentials already issued to Holders may stop working or be unverifiable when the Platform is turned off for the Customer. Before the end date, the Customer is responsible for deciding what happens to issued Credentials (for example re-issuing them from another system, or revoking them) and for telling Holders. At the Customer’s request, iDen2 will publish final status information and, where the Customer holds its own keys, will help the Customer move its issuer configuration to another system, as a Professional Service.</w:t>
      </w:r>
    </w:p>
    <w:p>
      <w:pPr>
        <w:pStyle w:val="BodyText"/>
      </w:pPr>
      <w:r>
        <w:rPr>
          <w:bCs/>
          <w:b/>
        </w:rPr>
        <w:t xml:space="preserve">16.7 Survival.</w:t>
      </w:r>
      <w:r>
        <w:t xml:space="preserve"> </w:t>
      </w:r>
      <w:r>
        <w:t xml:space="preserve">Articles 9 (as to ownership), 12, 14, 15, 17, 19, and 20, Sections 7 (for unpaid amounts), 16.4 to 16.7, and anything else that by its nature should survive, continue after the end of this Agreement.</w:t>
      </w:r>
    </w:p>
    <w:bookmarkEnd w:id="39"/>
    <w:bookmarkStart w:id="40" w:name="compliance"/>
    <w:p>
      <w:pPr>
        <w:pStyle w:val="Heading1"/>
      </w:pPr>
      <w:r>
        <w:t xml:space="preserve">17. COMPLIANCE</w:t>
      </w:r>
    </w:p>
    <w:p>
      <w:pPr>
        <w:pStyle w:val="FirstParagraph"/>
      </w:pPr>
      <w:r>
        <w:rPr>
          <w:bCs/>
          <w:b/>
        </w:rPr>
        <w:t xml:space="preserve">17.1 Export controls and sanctions.</w:t>
      </w:r>
      <w:r>
        <w:t xml:space="preserve"> </w:t>
      </w:r>
      <w:r>
        <w:t xml:space="preserve">Each party must follow export control and sanctions laws that apply to it, including those of the United States. The Customer confirms that neither it, nor its owners, nor its Authorized Users are on a US, UN, EU, or UK sanctions or denied-party list, or located in or controlled from a country or region under comprehensive sanctions. The Customer will not export, re-export, or give access to the Platform in breach of those laws. iDen2 may suspend or end access immediately without liability if it reasonably believes this Article is breached or would be breached by continuing.</w:t>
      </w:r>
    </w:p>
    <w:p>
      <w:pPr>
        <w:pStyle w:val="BodyText"/>
      </w:pPr>
      <w:r>
        <w:rPr>
          <w:bCs/>
          <w:b/>
        </w:rPr>
        <w:t xml:space="preserve">17.2 Anti-corruption.</w:t>
      </w:r>
      <w:r>
        <w:t xml:space="preserve"> </w:t>
      </w:r>
      <w:r>
        <w:t xml:space="preserve">Each party will follow applicable anti-corruption laws (including the US Foreign Corrupt Practices Act and the UK Bribery Act where they apply) and will not offer, give, request, or accept anything of value to improperly influence any person in connection with this Agreement.</w:t>
      </w:r>
    </w:p>
    <w:p>
      <w:pPr>
        <w:pStyle w:val="BodyText"/>
      </w:pPr>
      <w:r>
        <w:rPr>
          <w:bCs/>
          <w:b/>
        </w:rPr>
        <w:t xml:space="preserve">17.3 Use in public identity programs.</w:t>
      </w:r>
      <w:r>
        <w:t xml:space="preserve"> </w:t>
      </w:r>
      <w:r>
        <w:t xml:space="preserve">If the Customer is a government body or acts for one, or the Platform is used for a national or regulated identity program, the parties will also follow the Public Sector Addendum (Template 11) if it is attached to the Order Form.</w:t>
      </w:r>
    </w:p>
    <w:bookmarkEnd w:id="40"/>
    <w:bookmarkStart w:id="41" w:name="publicity"/>
    <w:p>
      <w:pPr>
        <w:pStyle w:val="Heading1"/>
      </w:pPr>
      <w:r>
        <w:t xml:space="preserve">18. PUBLICITY</w:t>
      </w:r>
    </w:p>
    <w:p>
      <w:pPr>
        <w:pStyle w:val="FirstParagraph"/>
      </w:pPr>
      <w:r>
        <w:t xml:space="preserve">Neither party will issue a press release or use the other’s name or logo in marketing without prior written consent (email is enough). If the Customer ticks the box in the Order Form, iDen2 may name the Customer as a customer and use its logo on iDen2’s website and in sales materials. The Customer may withdraw that consent at any time on notice, and iDen2 will stop new uses within 30 days. A case study needs a separately signed Reference Consent (Template 14).</w:t>
      </w:r>
    </w:p>
    <w:bookmarkEnd w:id="41"/>
    <w:bookmarkStart w:id="42" w:name="governing-law-and-disputes"/>
    <w:p>
      <w:pPr>
        <w:pStyle w:val="Heading1"/>
      </w:pPr>
      <w:r>
        <w:t xml:space="preserve">19. GOVERNING LAW AND DISPUTES</w:t>
      </w:r>
    </w:p>
    <w:p>
      <w:pPr>
        <w:pStyle w:val="FirstParagraph"/>
      </w:pPr>
      <w:r>
        <w:rPr>
          <w:bCs/>
          <w:b/>
        </w:rPr>
        <w:t xml:space="preserve">19.1 Governing law.</w:t>
      </w:r>
      <w:r>
        <w:t xml:space="preserve"> </w:t>
      </w:r>
      <w:r>
        <w:t xml:space="preserve">This Agreement, and any dispute arising from it or related to it, is governed by the laws of the State of Wyoming, USA, without regard to its conflict-of-laws rules. The UN Convention on Contracts for the International Sale of Goods does not apply.</w:t>
      </w:r>
    </w:p>
    <w:p>
      <w:pPr>
        <w:pStyle w:val="BodyText"/>
      </w:pPr>
      <w:r>
        <w:rPr>
          <w:bCs/>
          <w:b/>
        </w:rPr>
        <w:t xml:space="preserve">19.2 Escalation.</w:t>
      </w:r>
      <w:r>
        <w:t xml:space="preserve"> </w:t>
      </w:r>
      <w:r>
        <w:t xml:space="preserve">Before starting formal proceedings, a party must give written notice of the dispute. Senior executives of both parties will meet (in person or by video) within 15 days of the notice and try in good faith to resolve it for 30 days from the notice.</w:t>
      </w:r>
    </w:p>
    <w:p>
      <w:pPr>
        <w:pStyle w:val="BodyText"/>
      </w:pPr>
      <w:r>
        <w:rPr>
          <w:bCs/>
          <w:b/>
        </w:rPr>
        <w:t xml:space="preserve">19.3 Arbitration.</w:t>
      </w:r>
      <w:r>
        <w:t xml:space="preserve"> </w:t>
      </w:r>
      <w:r>
        <w:t xml:space="preserve">If the dispute is not resolved, either party may refer it to final and binding arbitration administered by JAMS under its Comprehensive Arbitration Rules and Procedures. There will be one arbitrator. The seat of arbitration is Cheyenne, Wyoming, USA. The language is English. A court of competent jurisdiction may enter judgment on the award. The parties will keep the arbitration and its result confidential, except as needed to enforce the award.</w:t>
      </w:r>
    </w:p>
    <w:p>
      <w:pPr>
        <w:pStyle w:val="BodyText"/>
      </w:pPr>
      <w:r>
        <w:rPr>
          <w:bCs/>
          <w:b/>
        </w:rPr>
        <w:t xml:space="preserve">19.4 Urgent relief.</w:t>
      </w:r>
      <w:r>
        <w:t xml:space="preserve"> </w:t>
      </w:r>
      <w:r>
        <w:t xml:space="preserve">Either party may ask a court in Wyoming (state or federal) for an injunction or similar urgent relief to protect its Confidential Information or intellectual property, without waiting for arbitration. Both parties accept the courts of Wyoming for that purpose.</w:t>
      </w:r>
    </w:p>
    <w:p>
      <w:pPr>
        <w:pStyle w:val="BodyText"/>
      </w:pPr>
      <w:r>
        <w:rPr>
          <w:bCs/>
          <w:b/>
        </w:rPr>
        <w:t xml:space="preserve">19.5 Jury waiver.</w:t>
      </w:r>
      <w:r>
        <w:t xml:space="preserve"> </w:t>
      </w:r>
      <w:r>
        <w:t xml:space="preserve">To the extent a court case is allowed, each party waives its right to a jury trial.</w:t>
      </w:r>
    </w:p>
    <w:p>
      <w:pPr>
        <w:pStyle w:val="BlockText"/>
      </w:pPr>
      <w:r>
        <w:rPr>
          <w:bCs/>
          <w:b/>
        </w:rPr>
        <w:t xml:space="preserve">Drafting note:</w:t>
      </w:r>
      <w:r>
        <w:t xml:space="preserve"> </w:t>
      </w:r>
      <w:r>
        <w:t xml:space="preserve">For non-US customers who will not accept Wyoming arbitration, the usual fallback is: Wyoming law stays, but arbitration moves to JAMS International or ICC with a neutral seat (for example London, Geneva, or Singapore) and a three-arbitrator panel for claims above USD 1,000,000. For EU public bodies, local law may be mandatory. See the Template Guide.</w:t>
      </w:r>
    </w:p>
    <w:bookmarkEnd w:id="42"/>
    <w:bookmarkStart w:id="43" w:name="general"/>
    <w:p>
      <w:pPr>
        <w:pStyle w:val="Heading1"/>
      </w:pPr>
      <w:r>
        <w:t xml:space="preserve">20. GENERAL</w:t>
      </w:r>
    </w:p>
    <w:p>
      <w:pPr>
        <w:pStyle w:val="FirstParagraph"/>
      </w:pPr>
      <w:r>
        <w:rPr>
          <w:bCs/>
          <w:b/>
        </w:rPr>
        <w:t xml:space="preserve">20.1 Notices.</w:t>
      </w:r>
      <w:r>
        <w:t xml:space="preserve"> </w:t>
      </w:r>
      <w:r>
        <w:t xml:space="preserve">Notices must be in writing and sent by hand, internationally recognized courier, or email with confirmation of receipt. Notices to iDen2 go to: iDen2 Inc., 30 N Gould St, Ste R, Sheridan, WY 82801, USA, Attn: Chief Executive Officer, email legal@iden2.com. Notices to the Customer go to the address in the Order Form. A party may change its details by notice. Routine operational messages (for example maintenance notices) may be sent to the Customer’s administrator email.</w:t>
      </w:r>
    </w:p>
    <w:p>
      <w:pPr>
        <w:pStyle w:val="BodyText"/>
      </w:pPr>
      <w:r>
        <w:rPr>
          <w:bCs/>
          <w:b/>
        </w:rPr>
        <w:t xml:space="preserve">20.2 Assignment.</w:t>
      </w:r>
      <w:r>
        <w:t xml:space="preserve"> </w:t>
      </w:r>
      <w:r>
        <w:t xml:space="preserve">Neither party may assign this Agreement without the other’s written consent (not to be unreasonably withheld), except that either party may assign it, on written notice, to an Affiliate or to a successor in a merger, acquisition, or sale of all or substantially all of the business or assets to which this Agreement relates. iDen2 may end this Agreement on 60 days’ notice if the Customer is acquired by a direct competitor of iDen2. An assignment that breaks this Section is void.</w:t>
      </w:r>
    </w:p>
    <w:p>
      <w:pPr>
        <w:pStyle w:val="BodyText"/>
      </w:pPr>
      <w:r>
        <w:rPr>
          <w:bCs/>
          <w:b/>
        </w:rPr>
        <w:t xml:space="preserve">20.3 Force majeure.</w:t>
      </w:r>
      <w:r>
        <w:t xml:space="preserve"> </w:t>
      </w:r>
      <w:r>
        <w:t xml:space="preserve">A party is not liable for a delay or failure caused by events beyond its reasonable control, including natural disaster, war, terrorism, civil unrest, government action, labour disputes (not involving its own staff), pandemic, or failure of public utilities or the wider internet, if it gives prompt notice and works to resume performance. This does not excuse payment obligations. If the event lasts more than 90 days, the other party may end the affected Order Form on notice.</w:t>
      </w:r>
    </w:p>
    <w:p>
      <w:pPr>
        <w:pStyle w:val="BodyText"/>
      </w:pPr>
      <w:r>
        <w:rPr>
          <w:bCs/>
          <w:b/>
        </w:rPr>
        <w:t xml:space="preserve">20.4 Independent parties.</w:t>
      </w:r>
      <w:r>
        <w:t xml:space="preserve"> </w:t>
      </w:r>
      <w:r>
        <w:t xml:space="preserve">The parties are independent contractors. Nothing in this Agreement creates a partnership, joint venture, agency, or employment relationship.</w:t>
      </w:r>
    </w:p>
    <w:p>
      <w:pPr>
        <w:pStyle w:val="BodyText"/>
      </w:pPr>
      <w:r>
        <w:rPr>
          <w:bCs/>
          <w:b/>
        </w:rPr>
        <w:t xml:space="preserve">20.5 Insurance.</w:t>
      </w:r>
      <w:r>
        <w:t xml:space="preserve"> </w:t>
      </w:r>
      <w:r>
        <w:t xml:space="preserve">iDen2 will keep commercially reasonable insurance, including [technology errors and omissions / cyber liability and general liability], during the term and will give a certificate on request, no more than once a year.</w:t>
      </w:r>
    </w:p>
    <w:p>
      <w:pPr>
        <w:pStyle w:val="BodyText"/>
      </w:pPr>
      <w:r>
        <w:rPr>
          <w:bCs/>
          <w:b/>
        </w:rPr>
        <w:t xml:space="preserve">20.6 Entire agreement.</w:t>
      </w:r>
      <w:r>
        <w:t xml:space="preserve"> </w:t>
      </w:r>
      <w:r>
        <w:t xml:space="preserve">This Agreement (with the Order Forms, SOWs, and exhibits) is the whole agreement on its subject and replaces earlier discussions, proposals, and agreements on that subject, including any prior Proof of Value Agreement, except for Confidential Information already shared, which stays protected. Each party confirms it did not rely on any statement that is not in this Agreement.</w:t>
      </w:r>
    </w:p>
    <w:p>
      <w:pPr>
        <w:pStyle w:val="BodyText"/>
      </w:pPr>
      <w:r>
        <w:rPr>
          <w:bCs/>
          <w:b/>
        </w:rPr>
        <w:t xml:space="preserve">20.7 Changes and waivers.</w:t>
      </w:r>
      <w:r>
        <w:t xml:space="preserve"> </w:t>
      </w:r>
      <w:r>
        <w:t xml:space="preserve">Changes must be in writing and signed by both parties. A failure or delay to enforce a right is not a waiver of it.</w:t>
      </w:r>
    </w:p>
    <w:p>
      <w:pPr>
        <w:pStyle w:val="BodyText"/>
      </w:pPr>
      <w:r>
        <w:rPr>
          <w:bCs/>
          <w:b/>
        </w:rPr>
        <w:t xml:space="preserve">20.8 Severability.</w:t>
      </w:r>
      <w:r>
        <w:t xml:space="preserve"> </w:t>
      </w:r>
      <w:r>
        <w:t xml:space="preserve">If a part of this Agreement is found unenforceable, it will be limited or removed to the smallest extent needed, and the rest stays in force.</w:t>
      </w:r>
    </w:p>
    <w:p>
      <w:pPr>
        <w:pStyle w:val="BodyText"/>
      </w:pPr>
      <w:r>
        <w:rPr>
          <w:bCs/>
          <w:b/>
        </w:rPr>
        <w:t xml:space="preserve">20.9 No third-party rights.</w:t>
      </w:r>
      <w:r>
        <w:t xml:space="preserve"> </w:t>
      </w:r>
      <w:r>
        <w:t xml:space="preserve">No one other than the parties has rights under this Agreement. Holders are not third-party beneficiaries.</w:t>
      </w:r>
    </w:p>
    <w:p>
      <w:pPr>
        <w:pStyle w:val="BodyText"/>
      </w:pPr>
      <w:r>
        <w:rPr>
          <w:bCs/>
          <w:b/>
        </w:rPr>
        <w:t xml:space="preserve">20.10 Counterparts and e-signature.</w:t>
      </w:r>
      <w:r>
        <w:t xml:space="preserve"> </w:t>
      </w:r>
      <w:r>
        <w:t xml:space="preserve">This Agreement may be signed in counterparts and by electronic signature, and each signed copy is an original.</w:t>
      </w:r>
    </w:p>
    <w:p>
      <w:pPr>
        <w:pStyle w:val="BodyText"/>
      </w:pPr>
      <w:r>
        <w:rPr>
          <w:bCs/>
          <w:b/>
        </w:rPr>
        <w:t xml:space="preserve">20.11 Interpretation.</w:t>
      </w:r>
      <w:r>
        <w:t xml:space="preserve"> </w:t>
      </w:r>
      <w:r>
        <w:t xml:space="preserve">Headings are for convenience only.</w:t>
      </w:r>
      <w:r>
        <w:t xml:space="preserve"> </w:t>
      </w:r>
      <w:r>
        <w:t xml:space="preserve">“</w:t>
      </w:r>
      <w:r>
        <w:t xml:space="preserve">Including</w:t>
      </w:r>
      <w:r>
        <w:t xml:space="preserve">”</w:t>
      </w:r>
      <w:r>
        <w:t xml:space="preserve"> </w:t>
      </w:r>
      <w:r>
        <w:t xml:space="preserve">means</w:t>
      </w:r>
      <w:r>
        <w:t xml:space="preserve"> </w:t>
      </w:r>
      <w:r>
        <w:t xml:space="preserve">“</w:t>
      </w:r>
      <w:r>
        <w:t xml:space="preserve">including without limit</w:t>
      </w:r>
      <w:r>
        <w:t xml:space="preserve">”</w:t>
      </w:r>
      <w:r>
        <w:t xml:space="preserve">. The parties negotiated this Agreement, and no rule that reads unclear terms against the drafter applies.</w:t>
      </w:r>
    </w:p>
    <w:bookmarkEnd w:id="43"/>
    <w:bookmarkStart w:id="44" w:name="signatures"/>
    <w:p>
      <w:pPr>
        <w:pStyle w:val="Heading1"/>
      </w:pPr>
      <w:r>
        <w:t xml:space="preserve">SIGNATURES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4680"/>
        <w:gridCol w:w="4680"/>
      </w:tblGrid>
      <w:tr>
        <w:trPr>
          <w:tblHeader w:val="true"/>
        </w:trPr>
        <w:tc>
          <w:tcPr>
            <w:tcW w:type="dxa" w:w="4680"/>
            <w:shd w:val="clear" w:color="auto" w:fill="EFE3FB"/>
          </w:tcPr>
          <w:p>
            <w:pPr>
              <w:pStyle w:val="Compact"/>
              <w:spacing w:after="20" w:before="20"/>
              <w:jc w:val="left"/>
            </w:pPr>
            <w:r>
              <w:rPr>
                <w:bCs/>
                <w:rFonts w:ascii="Calibri" w:hAnsi="Calibri"/>
                <w:b/>
                <w:sz w:val="19"/>
              </w:rPr>
              <w:t xml:space="preserve">iDen2 Inc.</w:t>
            </w:r>
          </w:p>
        </w:tc>
        <w:tc>
          <w:tcPr>
            <w:tcW w:type="dxa" w:w="4680"/>
            <w:shd w:val="clear" w:color="auto" w:fill="EFE3FB"/>
          </w:tcPr>
          <w:p>
            <w:pPr>
              <w:pStyle w:val="Compact"/>
              <w:spacing w:after="20" w:before="20"/>
              <w:jc w:val="left"/>
            </w:pPr>
            <w:r>
              <w:rPr>
                <w:bCs/>
                <w:rFonts w:ascii="Calibri" w:hAnsi="Calibri"/>
                <w:b/>
                <w:sz w:val="19"/>
              </w:rPr>
              <w:t xml:space="preserve">[CUSTOMER LEGAL NAME]</w:t>
            </w:r>
          </w:p>
        </w:tc>
      </w:tr>
      <w:tr>
        <w:tc>
          <w:tcPr>
            <w:tcW w:type="dxa" w:w="4680"/>
          </w:tcPr>
          <w:p>
            <w:pPr>
              <w:pStyle w:val="Compact"/>
              <w:spacing w:after="20" w:before="20"/>
              <w:jc w:val="left"/>
            </w:pPr>
            <w:r>
              <w:rPr>
                <w:rFonts w:ascii="Calibri" w:hAnsi="Calibri"/>
                <w:sz w:val="19"/>
              </w:rPr>
              <w:t xml:space="preserve">Signature:</w:t>
            </w:r>
          </w:p>
        </w:tc>
        <w:tc>
          <w:tcPr>
            <w:tcW w:type="dxa" w:w="4680"/>
          </w:tcPr>
          <w:p>
            <w:pPr>
              <w:pStyle w:val="Compact"/>
              <w:spacing w:after="20" w:before="20"/>
              <w:jc w:val="left"/>
            </w:pPr>
            <w:r>
              <w:rPr>
                <w:rFonts w:ascii="Calibri" w:hAnsi="Calibri"/>
                <w:sz w:val="19"/>
              </w:rPr>
              <w:t xml:space="preserve">Signature:</w:t>
            </w:r>
          </w:p>
        </w:tc>
      </w:tr>
      <w:tr>
        <w:tc>
          <w:tcPr>
            <w:tcW w:type="dxa" w:w="4680"/>
          </w:tcPr>
          <w:p>
            <w:pPr>
              <w:pStyle w:val="Compact"/>
              <w:spacing w:after="20" w:before="20"/>
              <w:jc w:val="left"/>
            </w:pPr>
            <w:r>
              <w:rPr>
                <w:rFonts w:ascii="Calibri" w:hAnsi="Calibri"/>
                <w:sz w:val="19"/>
              </w:rPr>
              <w:t xml:space="preserve">Name:</w:t>
            </w:r>
          </w:p>
        </w:tc>
        <w:tc>
          <w:tcPr>
            <w:tcW w:type="dxa" w:w="4680"/>
          </w:tcPr>
          <w:p>
            <w:pPr>
              <w:pStyle w:val="Compact"/>
              <w:spacing w:after="20" w:before="20"/>
              <w:jc w:val="left"/>
            </w:pPr>
            <w:r>
              <w:rPr>
                <w:rFonts w:ascii="Calibri" w:hAnsi="Calibri"/>
                <w:sz w:val="19"/>
              </w:rPr>
              <w:t xml:space="preserve">Name:</w:t>
            </w:r>
          </w:p>
        </w:tc>
      </w:tr>
      <w:tr>
        <w:tc>
          <w:tcPr>
            <w:tcW w:type="dxa" w:w="4680"/>
          </w:tcPr>
          <w:p>
            <w:pPr>
              <w:pStyle w:val="Compact"/>
              <w:spacing w:after="20" w:before="20"/>
              <w:jc w:val="left"/>
            </w:pPr>
            <w:r>
              <w:rPr>
                <w:rFonts w:ascii="Calibri" w:hAnsi="Calibri"/>
                <w:sz w:val="19"/>
              </w:rPr>
              <w:t xml:space="preserve">Title: Chief Executive Officer</w:t>
            </w:r>
          </w:p>
        </w:tc>
        <w:tc>
          <w:tcPr>
            <w:tcW w:type="dxa" w:w="4680"/>
          </w:tcPr>
          <w:p>
            <w:pPr>
              <w:pStyle w:val="Compact"/>
              <w:spacing w:after="20" w:before="20"/>
              <w:jc w:val="left"/>
            </w:pPr>
            <w:r>
              <w:rPr>
                <w:rFonts w:ascii="Calibri" w:hAnsi="Calibri"/>
                <w:sz w:val="19"/>
              </w:rPr>
              <w:t xml:space="preserve">Title:</w:t>
            </w:r>
          </w:p>
        </w:tc>
      </w:tr>
      <w:tr>
        <w:tc>
          <w:tcPr>
            <w:tcW w:type="dxa" w:w="4680"/>
          </w:tcPr>
          <w:p>
            <w:pPr>
              <w:pStyle w:val="Compact"/>
              <w:spacing w:after="20" w:before="20"/>
              <w:jc w:val="left"/>
            </w:pPr>
            <w:r>
              <w:rPr>
                <w:rFonts w:ascii="Calibri" w:hAnsi="Calibri"/>
                <w:sz w:val="19"/>
              </w:rPr>
              <w:t xml:space="preserve">Date:</w:t>
            </w:r>
          </w:p>
        </w:tc>
        <w:tc>
          <w:tcPr>
            <w:tcW w:type="dxa" w:w="4680"/>
          </w:tcPr>
          <w:p>
            <w:pPr>
              <w:pStyle w:val="Compact"/>
              <w:spacing w:after="20" w:before="20"/>
              <w:jc w:val="left"/>
            </w:pPr>
            <w:r>
              <w:rPr>
                <w:rFonts w:ascii="Calibri" w:hAnsi="Calibri"/>
                <w:sz w:val="19"/>
              </w:rPr>
              <w:t xml:space="preserve">Date:</w:t>
            </w:r>
          </w:p>
        </w:tc>
      </w:tr>
    </w:tbl>
    <w:p>
      <w:r>
        <w:br w:type="page"/>
      </w:r>
    </w:p>
    <w:bookmarkEnd w:id="44"/>
    <w:bookmarkStart w:id="45" w:name="exhibit-a-acceptable-use-rules"/>
    <w:p>
      <w:pPr>
        <w:pStyle w:val="Heading1"/>
      </w:pPr>
      <w:r>
        <w:t xml:space="preserve">EXHIBIT A: ACCEPTABLE USE RULES</w:t>
      </w:r>
    </w:p>
    <w:p>
      <w:pPr>
        <w:pStyle w:val="FirstParagraph"/>
      </w:pPr>
      <w:r>
        <w:t xml:space="preserve">The Customer must not use, and must not allow others to use, the Platform to:</w:t>
      </w:r>
    </w:p>
    <w:p>
      <w:pPr>
        <w:numPr>
          <w:ilvl w:val="0"/>
          <w:numId w:val="1002"/>
        </w:numPr>
        <w:pStyle w:val="Compact"/>
      </w:pPr>
      <w:r>
        <w:rPr>
          <w:bCs/>
          <w:b/>
        </w:rPr>
        <w:t xml:space="preserve">Break the law.</w:t>
      </w:r>
      <w:r>
        <w:t xml:space="preserve"> </w:t>
      </w:r>
      <w:r>
        <w:t xml:space="preserve">Do anything that breaks Applicable Law, or help others do so.</w:t>
      </w:r>
    </w:p>
    <w:p>
      <w:pPr>
        <w:numPr>
          <w:ilvl w:val="0"/>
          <w:numId w:val="1002"/>
        </w:numPr>
        <w:pStyle w:val="Compact"/>
      </w:pPr>
      <w:r>
        <w:rPr>
          <w:bCs/>
          <w:b/>
        </w:rPr>
        <w:t xml:space="preserve">Create false identities.</w:t>
      </w:r>
      <w:r>
        <w:t xml:space="preserve"> </w:t>
      </w:r>
      <w:r>
        <w:t xml:space="preserve">Issue Credentials or identities that the Customer knows or suspects are false, forged, or issued without proper checks, or help anyone pretend to be another person or organization.</w:t>
      </w:r>
    </w:p>
    <w:p>
      <w:pPr>
        <w:numPr>
          <w:ilvl w:val="0"/>
          <w:numId w:val="1002"/>
        </w:numPr>
        <w:pStyle w:val="Compact"/>
      </w:pPr>
      <w:r>
        <w:rPr>
          <w:bCs/>
          <w:b/>
        </w:rPr>
        <w:t xml:space="preserve">Run unlawful surveillance or profiling.</w:t>
      </w:r>
      <w:r>
        <w:t xml:space="preserve"> </w:t>
      </w:r>
      <w:r>
        <w:t xml:space="preserve">Track, profile, or score people in ways that are unlawful, that unlawfully discriminate, or that breach their basic rights, including mass surveillance without a lawful basis.</w:t>
      </w:r>
    </w:p>
    <w:p>
      <w:pPr>
        <w:numPr>
          <w:ilvl w:val="0"/>
          <w:numId w:val="1002"/>
        </w:numPr>
        <w:pStyle w:val="Compact"/>
      </w:pPr>
      <w:r>
        <w:rPr>
          <w:bCs/>
          <w:b/>
        </w:rPr>
        <w:t xml:space="preserve">Harm minors.</w:t>
      </w:r>
      <w:r>
        <w:t xml:space="preserve"> </w:t>
      </w:r>
      <w:r>
        <w:t xml:space="preserve">Collect or process data about children in ways that breach laws that protect them.</w:t>
      </w:r>
    </w:p>
    <w:p>
      <w:pPr>
        <w:numPr>
          <w:ilvl w:val="0"/>
          <w:numId w:val="1002"/>
        </w:numPr>
        <w:pStyle w:val="Compact"/>
      </w:pPr>
      <w:r>
        <w:rPr>
          <w:bCs/>
          <w:b/>
        </w:rPr>
        <w:t xml:space="preserve">Attack systems.</w:t>
      </w:r>
      <w:r>
        <w:t xml:space="preserve"> </w:t>
      </w:r>
      <w:r>
        <w:t xml:space="preserve">Probe, scan, or test the security of the Platform or any other system without written permission, introduce malware, or overload the Platform.</w:t>
      </w:r>
    </w:p>
    <w:p>
      <w:pPr>
        <w:numPr>
          <w:ilvl w:val="0"/>
          <w:numId w:val="1002"/>
        </w:numPr>
        <w:pStyle w:val="Compact"/>
      </w:pPr>
      <w:r>
        <w:rPr>
          <w:bCs/>
          <w:b/>
        </w:rPr>
        <w:t xml:space="preserve">Hide or abuse access.</w:t>
      </w:r>
      <w:r>
        <w:t xml:space="preserve"> </w:t>
      </w:r>
      <w:r>
        <w:t xml:space="preserve">Share account credentials in ways that bypass licensing, or use another customer’s data or account.</w:t>
      </w:r>
    </w:p>
    <w:p>
      <w:pPr>
        <w:numPr>
          <w:ilvl w:val="0"/>
          <w:numId w:val="1002"/>
        </w:numPr>
        <w:pStyle w:val="Compact"/>
      </w:pPr>
      <w:r>
        <w:rPr>
          <w:bCs/>
          <w:b/>
        </w:rPr>
        <w:t xml:space="preserve">Misuse AI Agents.</w:t>
      </w:r>
      <w:r>
        <w:t xml:space="preserve"> </w:t>
      </w:r>
      <w:r>
        <w:t xml:space="preserve">Authorize an AI Agent to act beyond its lawful authority, or use AI Agents to deceive people about who or what they are dealing with.</w:t>
      </w:r>
    </w:p>
    <w:p>
      <w:pPr>
        <w:numPr>
          <w:ilvl w:val="0"/>
          <w:numId w:val="1002"/>
        </w:numPr>
        <w:pStyle w:val="Compact"/>
      </w:pPr>
      <w:r>
        <w:rPr>
          <w:bCs/>
          <w:b/>
        </w:rPr>
        <w:t xml:space="preserve">Break sanctions or export rules.</w:t>
      </w:r>
      <w:r>
        <w:t xml:space="preserve"> </w:t>
      </w:r>
      <w:r>
        <w:t xml:space="preserve">Use the Platform in or for a person or place barred under Article 17.</w:t>
      </w:r>
    </w:p>
    <w:p>
      <w:pPr>
        <w:numPr>
          <w:ilvl w:val="0"/>
          <w:numId w:val="1002"/>
        </w:numPr>
        <w:pStyle w:val="Compact"/>
      </w:pPr>
      <w:r>
        <w:rPr>
          <w:bCs/>
          <w:b/>
        </w:rPr>
        <w:t xml:space="preserve">Store prohibited data.</w:t>
      </w:r>
      <w:r>
        <w:t xml:space="preserve"> </w:t>
      </w:r>
      <w:r>
        <w:t xml:space="preserve">Put data in the Platform that Section 10.5 does not allow.</w:t>
      </w:r>
    </w:p>
    <w:p>
      <w:pPr>
        <w:pStyle w:val="FirstParagraph"/>
      </w:pPr>
      <w:r>
        <w:t xml:space="preserve">iDen2 may update these rules to address new risks, on 30 days’ notice, but will not change them in a way that stops a use the Customer was lawfully making.</w:t>
      </w:r>
    </w:p>
    <w:bookmarkEnd w:id="45"/>
    <w:bookmarkStart w:id="46" w:name="exhibit-b-optional-module-terms"/>
    <w:p>
      <w:pPr>
        <w:pStyle w:val="Heading1"/>
      </w:pPr>
      <w:r>
        <w:t xml:space="preserve">EXHIBIT B: OPTIONAL MODULE TERMS</w:t>
      </w:r>
    </w:p>
    <w:p>
      <w:pPr>
        <w:pStyle w:val="FirstParagraph"/>
      </w:pPr>
      <w:r>
        <w:t xml:space="preserve">Include an optional module only if the Order Form lists it.</w:t>
      </w:r>
    </w:p>
    <w:p>
      <w:pPr>
        <w:pStyle w:val="BodyText"/>
      </w:pPr>
      <w:r>
        <w:rPr>
          <w:bCs/>
          <w:b/>
        </w:rPr>
        <w:t xml:space="preserve">B-1 Holdr Wallet and Wallet-as-a-Service.</w:t>
      </w:r>
      <w:r>
        <w:t xml:space="preserve"> </w:t>
      </w:r>
      <w:r>
        <w:t xml:space="preserve">(a) The Customer is the party that provides the wallet to its Holders and decides on the Holder terms. (b) Holders are not iDen2’s customers, and iDen2 has no direct contract with them unless the Order Form says so. (c) The Customer must give Holders a privacy notice that is accurate for how its wallet works. (d) iDen2 is not responsible for third-party app stores or device makers, or for Holders’ lost devices or lost recovery keys, except as the Documentation states. (e) The Customer is responsible for support to Holders unless the Order Form includes Holder support.</w:t>
      </w:r>
    </w:p>
    <w:p>
      <w:pPr>
        <w:pStyle w:val="BodyText"/>
      </w:pPr>
      <w:r>
        <w:rPr>
          <w:bCs/>
          <w:b/>
        </w:rPr>
        <w:t xml:space="preserve">B-2 APoC Engine (AI Agent identity and delegation).</w:t>
      </w:r>
      <w:r>
        <w:t xml:space="preserve"> </w:t>
      </w:r>
      <w:r>
        <w:t xml:space="preserve">(a) The Customer defines delegation policies; iDen2 enforces them as configured. (b) The Platform records delegations and agent actions as described in the Documentation, and the Customer is responsible for deciding how long to keep these records and for who can read them. (c) The Customer must not use the APoC Engine as the only safeguard for decisions that could cause serious harm to a person (for example denial of essential services), and must keep human review where Applicable Law requires it.</w:t>
      </w:r>
    </w:p>
    <w:p>
      <w:pPr>
        <w:pStyle w:val="BodyText"/>
      </w:pPr>
      <w:r>
        <w:rPr>
          <w:bCs/>
          <w:b/>
        </w:rPr>
        <w:t xml:space="preserve">B-3 Government and Regulated Identity Programs.</w:t>
      </w:r>
      <w:r>
        <w:t xml:space="preserve"> </w:t>
      </w:r>
      <w:r>
        <w:t xml:space="preserve">(a) Where the Platform is used in a national or regulated identity scheme, the Customer (or the government body it serves) is the scheme operator and is responsible for the scheme’s rules, accreditation, and legal compliance. (b) The Public Sector Addendum applies if it is attached. (c) iDen2 may need to restrict some features or services to follow export control rules, and will tell the Customer if so.</w:t>
      </w:r>
    </w:p>
    <w:p>
      <w:pPr>
        <w:pStyle w:val="BodyText"/>
      </w:pPr>
      <w:r>
        <w:rPr>
          <w:bCs/>
          <w:b/>
        </w:rPr>
        <w:t xml:space="preserve">B-4 Custody Controls and Key Services.</w:t>
      </w:r>
      <w:r>
        <w:t xml:space="preserve"> </w:t>
      </w:r>
      <w:r>
        <w:t xml:space="preserve">(a) The Order Form must state who holds root and signing keys. (b) Where the Customer holds keys, Section 5.4 applies. (c) Where iDen2 holds keys, iDen2 will use the key protection described in the Security Addendum and will not use those keys except on the Customer’s configured instructions or as needed to provide the service.</w:t>
      </w:r>
    </w:p>
    <w:bookmarkEnd w:id="46"/>
    <w:sectPr>
      <w:footerReference w:type="default" r:id="rId9"/>
      <w:pgSz w:h="15840" w:w="12240"/>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F76"/>
        <w:sz w:val="16"/>
      </w:rPr>
      <w:t xml:space="preserve">iDen2 Inc.  |  Master Services Agreement  |  Confidential  |  Page </w:t>
    </w:r>
    <w:r>
      <w:rPr>
        <w:color w:val="6B6F76"/>
        <w:sz w:val="16"/>
      </w:rPr>
      <w:fldChar w:fldCharType="begin"/>
      <w:instrText xml:space="preserve">PAGE</w:instrText>
      <w:fldChar w:fldCharType="end"/>
    </w:r>
    <w:r>
      <w:rPr>
        <w:color w:val="6B6F76"/>
        <w:sz w:val="16"/>
      </w:rPr>
      <w:t xml:space="preserve"> of </w:t>
    </w:r>
    <w:r>
      <w:rPr>
        <w:color w:val="6B6F76"/>
        <w:sz w:val="16"/>
      </w:rPr>
      <w:fldChar w:fldCharType="begin"/>
      <w:instrText xml:space="preserve">NUMPAGES</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cs="Calibri" w:eastAsia="Calibri" w:hAnsi="Calibri"/>
      <w:color w:val="1A1A2E"/>
      <w:sz w:val="21"/>
    </w:rPr>
  </w:style>
  <w:style w:styleId="BodyText" w:type="paragraph">
    <w:name w:val="Body Text"/>
    <w:basedOn w:val="Normal"/>
    <w:link w:val="BodyTextChar"/>
    <w:pPr>
      <w:spacing w:after="120" w:before="0" w:line="259" w:lineRule="auto"/>
    </w:pPr>
    <w:qFormat/>
    <w:rPr>
      <w:rFonts w:ascii="Calibri" w:cs="Calibri" w:eastAsia="Calibri" w:hAnsi="Calibri"/>
      <w:color w:val="1A1A2E"/>
      <w:sz w:val="21"/>
    </w:rPr>
  </w:style>
  <w:style w:customStyle="1" w:styleId="FirstParagraph" w:type="paragraph">
    <w:name w:val="First Paragraph"/>
    <w:basedOn w:val="BodyText"/>
    <w:next w:val="BodyText"/>
    <w:qFormat/>
    <w:pPr>
      <w:spacing w:after="120" w:before="0" w:line="259" w:lineRule="auto"/>
    </w:pPr>
    <w:rPr>
      <w:rFonts w:ascii="Calibri" w:cs="Calibri" w:eastAsia="Calibri" w:hAnsi="Calibri"/>
      <w:color w:val="1A1A2E"/>
      <w:sz w:val="21"/>
    </w:rPr>
  </w:style>
  <w:style w:customStyle="1" w:styleId="Compact" w:type="paragraph">
    <w:name w:val="Compact"/>
    <w:basedOn w:val="BodyText"/>
    <w:qFormat/>
    <w:pPr>
      <w:spacing w:after="40" w:before="36"/>
    </w:pPr>
    <w:rPr>
      <w:rFonts w:ascii="Calibri" w:cs="Calibri" w:eastAsia="Calibri" w:hAnsi="Calibri"/>
      <w:color w:val="1A1A2E"/>
      <w:sz w:val="21"/>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Calibri" w:cs="Calibri" w:eastAsia="Calibri" w:hAnsi="Calibri"/>
      <w:b/>
      <w:bCs/>
      <w:i w:val="0"/>
      <w:color w:val="8A2EE5"/>
      <w:sz w:val="28"/>
      <w:szCs w:val="32"/>
    </w:rPr>
  </w:style>
  <w:style w:styleId="Heading2" w:type="paragraph">
    <w:name w:val="Heading 2"/>
    <w:basedOn w:val="Normal"/>
    <w:next w:val="BodyText"/>
    <w:uiPriority w:val="9"/>
    <w:unhideWhenUsed/>
    <w:qFormat/>
    <w:pPr>
      <w:keepNext/>
      <w:keepLines/>
      <w:spacing w:after="80" w:before="240"/>
      <w:outlineLvl w:val="1"/>
    </w:pPr>
    <w:rPr>
      <w:rFonts w:ascii="Calibri" w:cs="Calibri" w:eastAsia="Calibri" w:hAnsi="Calibri"/>
      <w:b/>
      <w:bCs/>
      <w:i w:val="0"/>
      <w:color w:val="8A2EE5"/>
      <w:sz w:val="24"/>
      <w:szCs w:val="28"/>
    </w:rPr>
  </w:style>
  <w:style w:styleId="Heading3" w:type="paragraph">
    <w:name w:val="Heading 3"/>
    <w:basedOn w:val="Normal"/>
    <w:next w:val="BodyText"/>
    <w:uiPriority w:val="9"/>
    <w:unhideWhenUsed/>
    <w:qFormat/>
    <w:pPr>
      <w:keepNext/>
      <w:keepLines/>
      <w:spacing w:after="60" w:before="200"/>
      <w:outlineLvl w:val="2"/>
    </w:pPr>
    <w:rPr>
      <w:rFonts w:ascii="Calibri" w:cs="Calibri" w:eastAsia="Calibri" w:hAnsi="Calibri"/>
      <w:b/>
      <w:bCs/>
      <w:i w:val="0"/>
      <w:color w:val="1A1A2E"/>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60" w:before="120"/>
      <w:ind w:firstLine="0" w:left="144" w:right="144"/>
      <w:shd w:fill="FFF6D6" w:val="clear"/>
      <w:pBdr>
        <w:top w:color="E0B400" w:space="4" w:sz="6" w:val="single"/>
        <w:left w:color="E0B400" w:space="4" w:sz="24" w:val="single"/>
        <w:bottom w:color="E0B400" w:space="4" w:sz="6" w:val="single"/>
        <w:right w:color="E0B400" w:space="4" w:sz="6" w:val="single"/>
      </w:pBdr>
    </w:pPr>
    <w:rPr>
      <w:rFonts w:ascii="Calibri" w:cs="Calibri" w:eastAsia="Calibri" w:hAnsi="Calibri"/>
      <w:i/>
      <w:color w:val="4A3B00"/>
      <w:sz w:val="19"/>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image" Target="media/rId20.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2026-10-10T22:14:56Z</dcterms:created>
  <dcterms:modified xsi:type="dcterms:W3CDTF">2026-10-10T22:14:56Z</dcterms:modified>
</cp:coreProperties>
</file>

<file path=docProps/custom.xml><?xml version="1.0" encoding="utf-8"?>
<Properties xmlns="http://schemas.openxmlformats.org/officeDocument/2006/custom-properties" xmlns:vt="http://schemas.openxmlformats.org/officeDocument/2006/docPropsVTypes"/>
</file>