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service-levels-and-support-policy"/>
    <w:p>
      <w:pPr>
        <w:pStyle w:val="Heading1"/>
      </w:pPr>
      <w:r>
        <w:t xml:space="preserve">SERVICE LEVELS AND SUPPORT POLICY</w:t>
      </w:r>
    </w:p>
    <w:p>
      <w:pPr>
        <w:pStyle w:val="FirstParagraph"/>
      </w:pPr>
      <w:r>
        <w:rPr>
          <w:bCs/>
          <w:b/>
        </w:rPr>
        <w:t xml:space="preserve">iDen2 Inc. and [CUSTOMER LEGAL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Reference</w:t>
            </w:r>
          </w:p>
        </w:tc>
        <w:tc>
          <w:tcPr>
            <w:tcW w:type="dxa" w:w="6624"/>
          </w:tcPr>
          <w:p>
            <w:pPr>
              <w:pStyle w:val="Compact"/>
              <w:spacing w:after="20" w:before="20"/>
              <w:jc w:val="left"/>
            </w:pPr>
            <w:r>
              <w:rPr>
                <w:rFonts w:ascii="Calibri" w:hAnsi="Calibri"/>
                <w:sz w:val="19"/>
              </w:rPr>
              <w:t xml:space="preserve">iDen2-[CUSTOMER CODE]-SLA-[YYYY]-[###]</w:t>
            </w:r>
          </w:p>
        </w:tc>
      </w:tr>
      <w:tr>
        <w:tc>
          <w:tcPr>
            <w:tcW w:type="dxa" w:w="2736"/>
            <w:shd w:val="clear" w:color="auto" w:fill="F4F5F7"/>
          </w:tcPr>
          <w:p>
            <w:pPr>
              <w:pStyle w:val="Compact"/>
              <w:spacing w:after="20" w:before="20"/>
              <w:jc w:val="left"/>
            </w:pPr>
            <w:r>
              <w:rPr>
                <w:bCs/>
                <w:rFonts w:ascii="Calibri" w:hAnsi="Calibri"/>
                <w:b/>
                <w:sz w:val="19"/>
              </w:rPr>
              <w:t xml:space="preserve">Effective 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Forms part of</w:t>
            </w:r>
          </w:p>
        </w:tc>
        <w:tc>
          <w:tcPr>
            <w:tcW w:type="dxa" w:w="6624"/>
          </w:tcPr>
          <w:p>
            <w:pPr>
              <w:pStyle w:val="Compact"/>
              <w:spacing w:after="20" w:before="20"/>
              <w:jc w:val="left"/>
            </w:pPr>
            <w:r>
              <w:rPr>
                <w:rFonts w:ascii="Calibri" w:hAnsi="Calibri"/>
                <w:sz w:val="19"/>
              </w:rPr>
              <w:t xml:space="preserve">MSA dated [DATE], reference [MSA REF]</w:t>
            </w:r>
          </w:p>
        </w:tc>
      </w:tr>
      <w:tr>
        <w:tc>
          <w:tcPr>
            <w:tcW w:type="dxa" w:w="2736"/>
            <w:shd w:val="clear" w:color="auto" w:fill="F4F5F7"/>
          </w:tcPr>
          <w:p>
            <w:pPr>
              <w:pStyle w:val="Compact"/>
              <w:spacing w:after="20" w:before="20"/>
              <w:jc w:val="left"/>
            </w:pPr>
            <w:r>
              <w:rPr>
                <w:bCs/>
                <w:rFonts w:ascii="Calibri" w:hAnsi="Calibri"/>
                <w:b/>
                <w:sz w:val="19"/>
              </w:rPr>
              <w:t xml:space="preserve">Applies to</w:t>
            </w:r>
          </w:p>
        </w:tc>
        <w:tc>
          <w:tcPr>
            <w:tcW w:type="dxa" w:w="6624"/>
          </w:tcPr>
          <w:p>
            <w:pPr>
              <w:pStyle w:val="Compact"/>
              <w:spacing w:after="20" w:before="20"/>
              <w:jc w:val="left"/>
            </w:pPr>
            <w:r>
              <w:rPr>
                <w:rFonts w:ascii="Calibri" w:hAnsi="Calibri"/>
                <w:sz w:val="19"/>
              </w:rPr>
              <w:t xml:space="preserve">Production environments of the modules listed in the Order Form</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Do not put a number in this document that engineering has not confirmed in writing and can show from monitoring data. A promise of 99.9% availability that the platform cannot meet will cost real money in credits and damage trust. The figures in square brackets are placeholders. Get them confirmed by the CTO before sending. If the platform has no monitoring history yet, offer the lower figure or offer</w:t>
      </w:r>
      <w:r>
        <w:t xml:space="preserve"> </w:t>
      </w:r>
      <w:r>
        <w:t xml:space="preserve">“</w:t>
      </w:r>
      <w:r>
        <w:t xml:space="preserve">commercially reasonable efforts</w:t>
      </w:r>
      <w:r>
        <w:t xml:space="preserve">”</w:t>
      </w:r>
      <w:r>
        <w:t xml:space="preserve"> </w:t>
      </w:r>
      <w:r>
        <w:t xml:space="preserve">for the first 6 months.</w:t>
      </w:r>
    </w:p>
    <w:bookmarkEnd w:id="23"/>
    <w:bookmarkStart w:id="24" w:name="availability"/>
    <w:p>
      <w:pPr>
        <w:pStyle w:val="Heading1"/>
      </w:pPr>
      <w:r>
        <w:t xml:space="preserve">1. AVAILABILITY</w:t>
      </w:r>
    </w:p>
    <w:p>
      <w:pPr>
        <w:pStyle w:val="FirstParagraph"/>
      </w:pPr>
      <w:r>
        <w:rPr>
          <w:bCs/>
          <w:b/>
        </w:rPr>
        <w:t xml:space="preserve">1.1 Target.</w:t>
      </w:r>
      <w:r>
        <w:t xml:space="preserve"> </w:t>
      </w:r>
      <w:r>
        <w:t xml:space="preserve">iDen2 will make the production Platform available at least [99.5]% of the time in each calendar month (the</w:t>
      </w:r>
      <w:r>
        <w:t xml:space="preserve"> </w:t>
      </w:r>
      <w:r>
        <w:t xml:space="preserve">“</w:t>
      </w:r>
      <w:r>
        <w:rPr>
          <w:bCs/>
          <w:b/>
        </w:rPr>
        <w:t xml:space="preserve">Availability Target</w:t>
      </w:r>
      <w:r>
        <w:t xml:space="preserve">”</w:t>
      </w:r>
      <w:r>
        <w:t xml:space="preserve">).</w:t>
      </w:r>
    </w:p>
    <w:p>
      <w:pPr>
        <w:pStyle w:val="BodyText"/>
      </w:pPr>
      <w:r>
        <w:rPr>
          <w:bCs/>
          <w:b/>
        </w:rPr>
        <w:t xml:space="preserve">1.2 How availability is measured.</w:t>
      </w:r>
      <w:r>
        <w:t xml:space="preserve"> </w:t>
      </w:r>
      <w:r>
        <w:t xml:space="preserve">Availability = (total minutes in the month − minutes of Downtime) ÷ total minutes in the month.</w:t>
      </w:r>
      <w:r>
        <w:t xml:space="preserve"> </w:t>
      </w:r>
      <w:r>
        <w:t xml:space="preserve">“</w:t>
      </w:r>
      <w:r>
        <w:rPr>
          <w:bCs/>
          <w:b/>
        </w:rPr>
        <w:t xml:space="preserve">Downtime</w:t>
      </w:r>
      <w:r>
        <w:t xml:space="preserve">”</w:t>
      </w:r>
      <w:r>
        <w:t xml:space="preserve"> </w:t>
      </w:r>
      <w:r>
        <w:t xml:space="preserve">means minutes when the production Platform’s core functions (issuing, verifying, and revoking Credentials, and API access) are unavailable to the Customer, measured by iDen2’s monitoring.</w:t>
      </w:r>
    </w:p>
    <w:p>
      <w:pPr>
        <w:pStyle w:val="BodyText"/>
      </w:pPr>
      <w:r>
        <w:rPr>
          <w:bCs/>
          <w:b/>
        </w:rPr>
        <w:t xml:space="preserve">1.3 What is not Downtime.</w:t>
      </w:r>
      <w:r>
        <w:t xml:space="preserve"> </w:t>
      </w:r>
      <w:r>
        <w:t xml:space="preserve">Downtime does not include time lost to: (a) scheduled maintenance announced at least 3 business days in advance, in a window of no more than [8] hours per month, preferably outside the Customer’s business hours; (b) emergency maintenance needed for security, up to [2] hours per month; (c) causes outside iDen2’s reasonable control, including failure of the Customer’s systems, networks, or devices, third-party services the Customer chose, public ledgers, app stores, or internet failures; (d) the Customer’s breach of the MSA or use contrary to Documentation; (e) suspension under the MSA; (f) force majeure; or (g) beta features, test or staging environments.</w:t>
      </w:r>
    </w:p>
    <w:bookmarkEnd w:id="24"/>
    <w:bookmarkStart w:id="25" w:name="service-credits"/>
    <w:p>
      <w:pPr>
        <w:pStyle w:val="Heading1"/>
      </w:pPr>
      <w:r>
        <w:t xml:space="preserve">2. SERVICE CREDITS</w:t>
      </w:r>
    </w:p>
    <w:p>
      <w:pPr>
        <w:pStyle w:val="FirstParagraph"/>
      </w:pPr>
      <w:r>
        <w:rPr>
          <w:bCs/>
          <w:b/>
        </w:rPr>
        <w:t xml:space="preserve">2.1 Credits.</w:t>
      </w:r>
      <w:r>
        <w:t xml:space="preserve"> </w:t>
      </w:r>
      <w:r>
        <w:t xml:space="preserve">If monthly availability falls below the Availability Target, the Customer may claim a credit against the next invoice, as follows: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rPr>
          <w:tblHeader w:val="true"/>
        </w:trPr>
        <w:tc>
          <w:tcPr>
            <w:tcW w:type="dxa" w:w="2736"/>
            <w:shd w:val="clear" w:color="auto" w:fill="EFE3FB"/>
          </w:tcPr>
          <w:p>
            <w:pPr>
              <w:pStyle w:val="Compact"/>
              <w:spacing w:after="20" w:before="20"/>
              <w:jc w:val="left"/>
            </w:pPr>
            <w:r>
              <w:rPr>
                <w:rFonts w:ascii="Calibri" w:hAnsi="Calibri"/>
                <w:b/>
                <w:sz w:val="19"/>
              </w:rPr>
              <w:t xml:space="preserve">Monthly availability</w:t>
            </w:r>
          </w:p>
        </w:tc>
        <w:tc>
          <w:tcPr>
            <w:tcW w:type="dxa" w:w="6624"/>
            <w:shd w:val="clear" w:color="auto" w:fill="EFE3FB"/>
          </w:tcPr>
          <w:p>
            <w:pPr>
              <w:pStyle w:val="Compact"/>
              <w:spacing w:after="20" w:before="20"/>
              <w:jc w:val="right"/>
            </w:pPr>
            <w:r>
              <w:rPr>
                <w:rFonts w:ascii="Calibri" w:hAnsi="Calibri"/>
                <w:b/>
                <w:sz w:val="19"/>
              </w:rPr>
              <w:t xml:space="preserve">Credit (% of that month’s pro-rata subscription fee for the affected module)</w:t>
            </w:r>
          </w:p>
        </w:tc>
      </w:tr>
      <w:tr>
        <w:tc>
          <w:tcPr>
            <w:tcW w:type="dxa" w:w="2736"/>
          </w:tcPr>
          <w:p>
            <w:pPr>
              <w:pStyle w:val="Compact"/>
              <w:spacing w:after="20" w:before="20"/>
              <w:jc w:val="left"/>
            </w:pPr>
            <w:r>
              <w:rPr>
                <w:rFonts w:ascii="Calibri" w:hAnsi="Calibri"/>
                <w:sz w:val="19"/>
              </w:rPr>
              <w:t xml:space="preserve">Below [99.5]% but at least [99.0]%</w:t>
            </w:r>
          </w:p>
        </w:tc>
        <w:tc>
          <w:tcPr>
            <w:tcW w:type="dxa" w:w="6624"/>
          </w:tcPr>
          <w:p>
            <w:pPr>
              <w:pStyle w:val="Compact"/>
              <w:spacing w:after="20" w:before="20"/>
              <w:jc w:val="right"/>
            </w:pPr>
            <w:r>
              <w:rPr>
                <w:rFonts w:ascii="Calibri" w:hAnsi="Calibri"/>
                <w:sz w:val="19"/>
              </w:rPr>
              <w:t xml:space="preserve">[5]%</w:t>
            </w:r>
          </w:p>
        </w:tc>
      </w:tr>
      <w:tr>
        <w:tc>
          <w:tcPr>
            <w:tcW w:type="dxa" w:w="2736"/>
          </w:tcPr>
          <w:p>
            <w:pPr>
              <w:pStyle w:val="Compact"/>
              <w:spacing w:after="20" w:before="20"/>
              <w:jc w:val="left"/>
            </w:pPr>
            <w:r>
              <w:rPr>
                <w:rFonts w:ascii="Calibri" w:hAnsi="Calibri"/>
                <w:sz w:val="19"/>
              </w:rPr>
              <w:t xml:space="preserve">Below [99.0]% but at least [95.0]%</w:t>
            </w:r>
          </w:p>
        </w:tc>
        <w:tc>
          <w:tcPr>
            <w:tcW w:type="dxa" w:w="6624"/>
          </w:tcPr>
          <w:p>
            <w:pPr>
              <w:pStyle w:val="Compact"/>
              <w:spacing w:after="20" w:before="20"/>
              <w:jc w:val="right"/>
            </w:pPr>
            <w:r>
              <w:rPr>
                <w:rFonts w:ascii="Calibri" w:hAnsi="Calibri"/>
                <w:sz w:val="19"/>
              </w:rPr>
              <w:t xml:space="preserve">[10]%</w:t>
            </w:r>
          </w:p>
        </w:tc>
      </w:tr>
      <w:tr>
        <w:tc>
          <w:tcPr>
            <w:tcW w:type="dxa" w:w="2736"/>
          </w:tcPr>
          <w:p>
            <w:pPr>
              <w:pStyle w:val="Compact"/>
              <w:spacing w:after="20" w:before="20"/>
              <w:jc w:val="left"/>
            </w:pPr>
            <w:r>
              <w:rPr>
                <w:rFonts w:ascii="Calibri" w:hAnsi="Calibri"/>
                <w:sz w:val="19"/>
              </w:rPr>
              <w:t xml:space="preserve">Below [95.0]%</w:t>
            </w:r>
          </w:p>
        </w:tc>
        <w:tc>
          <w:tcPr>
            <w:tcW w:type="dxa" w:w="6624"/>
          </w:tcPr>
          <w:p>
            <w:pPr>
              <w:pStyle w:val="Compact"/>
              <w:spacing w:after="20" w:before="20"/>
              <w:jc w:val="right"/>
            </w:pPr>
            <w:r>
              <w:rPr>
                <w:rFonts w:ascii="Calibri" w:hAnsi="Calibri"/>
                <w:sz w:val="19"/>
              </w:rPr>
              <w:t xml:space="preserve">[25]%</w:t>
            </w:r>
          </w:p>
        </w:tc>
      </w:tr>
    </w:tbl>
    <w:p>
      <w:pPr>
        <w:pStyle w:val="BodyText"/>
      </w:pPr>
      <w:r>
        <w:rPr>
          <w:bCs/>
          <w:b/>
        </w:rPr>
        <w:t xml:space="preserve">2.2 How to claim.</w:t>
      </w:r>
      <w:r>
        <w:t xml:space="preserve"> </w:t>
      </w:r>
      <w:r>
        <w:t xml:space="preserve">The Customer must request the credit in writing within 30 days after the end of the month, with the dates and times of Downtime. iDen2 will confirm using its records.</w:t>
      </w:r>
    </w:p>
    <w:p>
      <w:pPr>
        <w:pStyle w:val="BodyText"/>
      </w:pPr>
      <w:r>
        <w:rPr>
          <w:bCs/>
          <w:b/>
        </w:rPr>
        <w:t xml:space="preserve">2.3 Limits.</w:t>
      </w:r>
      <w:r>
        <w:t xml:space="preserve"> </w:t>
      </w:r>
      <w:r>
        <w:t xml:space="preserve">Credits are the Customer’s only remedy for failing the Availability Target. Credits are not paid in cash. The total credits in any month cannot exceed [25]% of that month’s fee for the affected module. If availability is below [95]% in 3 months in any 6-month period, the Customer may end the affected Order Form on 30 days’ notice and receive a refund of prepaid fees for the period after termination.</w:t>
      </w:r>
    </w:p>
    <w:bookmarkEnd w:id="25"/>
    <w:bookmarkStart w:id="26" w:name="support"/>
    <w:p>
      <w:pPr>
        <w:pStyle w:val="Heading1"/>
      </w:pPr>
      <w:r>
        <w:t xml:space="preserve">3. SUPPORT</w:t>
      </w:r>
    </w:p>
    <w:p>
      <w:pPr>
        <w:pStyle w:val="FirstParagraph"/>
      </w:pPr>
      <w:r>
        <w:rPr>
          <w:bCs/>
          <w:b/>
        </w:rPr>
        <w:t xml:space="preserve">3.1 Support hours.</w:t>
      </w:r>
      <w:r>
        <w:t xml:space="preserve"> </w:t>
      </w:r>
      <w:r>
        <w:t xml:space="preserve">Standard support: [9:00 to 18:00 U.S. Pacific time, Monday to Friday, excluding U.S. public holidays]. Premium support: [24x7 for Severity 1 only; other severities during standard hours].</w:t>
      </w:r>
    </w:p>
    <w:p>
      <w:pPr>
        <w:pStyle w:val="BodyText"/>
      </w:pPr>
      <w:r>
        <w:rPr>
          <w:bCs/>
          <w:b/>
        </w:rPr>
        <w:t xml:space="preserve">3.2 How to contact support.</w:t>
      </w:r>
      <w:r>
        <w:t xml:space="preserve"> </w:t>
      </w:r>
      <w:r>
        <w:t xml:space="preserve">Email [support@iden2.com — CONFIRM ADDRESS AND PORTAL] [or the support portal]. The Customer should name up to [3] authorized support contacts who are trained on the Platform.</w:t>
      </w:r>
    </w:p>
    <w:p>
      <w:pPr>
        <w:pStyle w:val="BodyText"/>
      </w:pPr>
      <w:r>
        <w:rPr>
          <w:bCs/>
          <w:b/>
        </w:rPr>
        <w:t xml:space="preserve">3.3 Severity levels and targets.</w:t>
      </w:r>
      <w:r>
        <w:t xml:space="preserve"> </w:t>
      </w:r>
      <w:r>
        <w:t xml:space="preserve">The Customer sets the first severity level, and iDen2 may reset it with a reason.</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1584"/>
        <w:gridCol w:w="1584"/>
        <w:gridCol w:w="1584"/>
        <w:gridCol w:w="1584"/>
        <w:gridCol w:w="1584"/>
      </w:tblGrid>
      <w:tr>
        <w:trPr>
          <w:tblHeader w:val="true"/>
        </w:trPr>
        <w:tc>
          <w:tcPr>
            <w:shd w:val="clear" w:color="auto" w:fill="EFE3FB"/>
          </w:tcPr>
          <w:p>
            <w:pPr>
              <w:pStyle w:val="Compact"/>
              <w:spacing w:after="20" w:before="20"/>
              <w:jc w:val="left"/>
            </w:pPr>
            <w:r>
              <w:rPr>
                <w:rFonts w:ascii="Calibri" w:hAnsi="Calibri"/>
                <w:b/>
                <w:sz w:val="19"/>
              </w:rPr>
              <w:t xml:space="preserve">Severity</w:t>
            </w:r>
          </w:p>
        </w:tc>
        <w:tc>
          <w:tcPr>
            <w:shd w:val="clear" w:color="auto" w:fill="EFE3FB"/>
          </w:tcPr>
          <w:p>
            <w:pPr>
              <w:pStyle w:val="Compact"/>
              <w:spacing w:after="20" w:before="20"/>
              <w:jc w:val="left"/>
            </w:pPr>
            <w:r>
              <w:rPr>
                <w:rFonts w:ascii="Calibri" w:hAnsi="Calibri"/>
                <w:b/>
                <w:sz w:val="19"/>
              </w:rPr>
              <w:t xml:space="preserve">Definition</w:t>
            </w:r>
          </w:p>
        </w:tc>
        <w:tc>
          <w:tcPr>
            <w:shd w:val="clear" w:color="auto" w:fill="EFE3FB"/>
          </w:tcPr>
          <w:p>
            <w:pPr>
              <w:pStyle w:val="Compact"/>
              <w:spacing w:after="20" w:before="20"/>
              <w:jc w:val="left"/>
            </w:pPr>
            <w:r>
              <w:rPr>
                <w:rFonts w:ascii="Calibri" w:hAnsi="Calibri"/>
                <w:b/>
                <w:sz w:val="19"/>
              </w:rPr>
              <w:t xml:space="preserve">First response target (Standard)</w:t>
            </w:r>
          </w:p>
        </w:tc>
        <w:tc>
          <w:tcPr>
            <w:shd w:val="clear" w:color="auto" w:fill="EFE3FB"/>
          </w:tcPr>
          <w:p>
            <w:pPr>
              <w:pStyle w:val="Compact"/>
              <w:spacing w:after="20" w:before="20"/>
              <w:jc w:val="left"/>
            </w:pPr>
            <w:r>
              <w:rPr>
                <w:rFonts w:ascii="Calibri" w:hAnsi="Calibri"/>
                <w:b/>
                <w:sz w:val="19"/>
              </w:rPr>
              <w:t xml:space="preserve">First response target (Premium)</w:t>
            </w:r>
          </w:p>
        </w:tc>
        <w:tc>
          <w:tcPr>
            <w:shd w:val="clear" w:color="auto" w:fill="EFE3FB"/>
          </w:tcPr>
          <w:p>
            <w:pPr>
              <w:pStyle w:val="Compact"/>
              <w:spacing w:after="20" w:before="20"/>
              <w:jc w:val="left"/>
            </w:pPr>
            <w:r>
              <w:rPr>
                <w:rFonts w:ascii="Calibri" w:hAnsi="Calibri"/>
                <w:b/>
                <w:sz w:val="19"/>
              </w:rPr>
              <w:t xml:space="preserve">Update interval</w:t>
            </w:r>
          </w:p>
        </w:tc>
      </w:tr>
      <w:tr>
        <w:tc>
          <w:tcPr/>
          <w:p>
            <w:pPr>
              <w:pStyle w:val="Compact"/>
              <w:spacing w:after="20" w:before="20"/>
              <w:jc w:val="left"/>
            </w:pPr>
            <w:r>
              <w:rPr>
                <w:bCs/>
                <w:rFonts w:ascii="Calibri" w:hAnsi="Calibri"/>
                <w:b/>
                <w:sz w:val="19"/>
              </w:rPr>
              <w:t xml:space="preserve">1: Critical</w:t>
            </w:r>
          </w:p>
        </w:tc>
        <w:tc>
          <w:tcPr/>
          <w:p>
            <w:pPr>
              <w:pStyle w:val="Compact"/>
              <w:spacing w:after="20" w:before="20"/>
              <w:jc w:val="left"/>
            </w:pPr>
            <w:r>
              <w:rPr>
                <w:rFonts w:ascii="Calibri" w:hAnsi="Calibri"/>
                <w:sz w:val="19"/>
              </w:rPr>
              <w:t xml:space="preserve">Production Platform is down, or a core function is unusable for most users, with no workaround</w:t>
            </w:r>
          </w:p>
        </w:tc>
        <w:tc>
          <w:tcPr/>
          <w:p>
            <w:pPr>
              <w:pStyle w:val="Compact"/>
              <w:spacing w:after="20" w:before="20"/>
              <w:jc w:val="left"/>
            </w:pPr>
            <w:r>
              <w:rPr>
                <w:rFonts w:ascii="Calibri" w:hAnsi="Calibri"/>
                <w:sz w:val="19"/>
              </w:rPr>
              <w:t xml:space="preserve">[4] business hours</w:t>
            </w:r>
          </w:p>
        </w:tc>
        <w:tc>
          <w:tcPr/>
          <w:p>
            <w:pPr>
              <w:pStyle w:val="Compact"/>
              <w:spacing w:after="20" w:before="20"/>
              <w:jc w:val="left"/>
            </w:pPr>
            <w:r>
              <w:rPr>
                <w:rFonts w:ascii="Calibri" w:hAnsi="Calibri"/>
                <w:sz w:val="19"/>
              </w:rPr>
              <w:t xml:space="preserve">[1] hour, 24x7</w:t>
            </w:r>
          </w:p>
        </w:tc>
        <w:tc>
          <w:tcPr/>
          <w:p>
            <w:pPr>
              <w:pStyle w:val="Compact"/>
              <w:spacing w:after="20" w:before="20"/>
              <w:jc w:val="left"/>
            </w:pPr>
            <w:r>
              <w:rPr>
                <w:rFonts w:ascii="Calibri" w:hAnsi="Calibri"/>
                <w:sz w:val="19"/>
              </w:rPr>
              <w:t xml:space="preserve">Every [4] hours</w:t>
            </w:r>
          </w:p>
        </w:tc>
      </w:tr>
      <w:tr>
        <w:tc>
          <w:tcPr/>
          <w:p>
            <w:pPr>
              <w:pStyle w:val="Compact"/>
              <w:spacing w:after="20" w:before="20"/>
              <w:jc w:val="left"/>
            </w:pPr>
            <w:r>
              <w:rPr>
                <w:bCs/>
                <w:rFonts w:ascii="Calibri" w:hAnsi="Calibri"/>
                <w:b/>
                <w:sz w:val="19"/>
              </w:rPr>
              <w:t xml:space="preserve">2: High</w:t>
            </w:r>
          </w:p>
        </w:tc>
        <w:tc>
          <w:tcPr/>
          <w:p>
            <w:pPr>
              <w:pStyle w:val="Compact"/>
              <w:spacing w:after="20" w:before="20"/>
              <w:jc w:val="left"/>
            </w:pPr>
            <w:r>
              <w:rPr>
                <w:rFonts w:ascii="Calibri" w:hAnsi="Calibri"/>
                <w:sz w:val="19"/>
              </w:rPr>
              <w:t xml:space="preserve">A core function is seriously degraded, or a major feature is unusable, with a partial workaround</w:t>
            </w:r>
          </w:p>
        </w:tc>
        <w:tc>
          <w:tcPr/>
          <w:p>
            <w:pPr>
              <w:pStyle w:val="Compact"/>
              <w:spacing w:after="20" w:before="20"/>
              <w:jc w:val="left"/>
            </w:pPr>
            <w:r>
              <w:rPr>
                <w:rFonts w:ascii="Calibri" w:hAnsi="Calibri"/>
                <w:sz w:val="19"/>
              </w:rPr>
              <w:t xml:space="preserve">[8] business hours</w:t>
            </w:r>
          </w:p>
        </w:tc>
        <w:tc>
          <w:tcPr/>
          <w:p>
            <w:pPr>
              <w:pStyle w:val="Compact"/>
              <w:spacing w:after="20" w:before="20"/>
              <w:jc w:val="left"/>
            </w:pPr>
            <w:r>
              <w:rPr>
                <w:rFonts w:ascii="Calibri" w:hAnsi="Calibri"/>
                <w:sz w:val="19"/>
              </w:rPr>
              <w:t xml:space="preserve">[4] hours</w:t>
            </w:r>
          </w:p>
        </w:tc>
        <w:tc>
          <w:tcPr/>
          <w:p>
            <w:pPr>
              <w:pStyle w:val="Compact"/>
              <w:spacing w:after="20" w:before="20"/>
              <w:jc w:val="left"/>
            </w:pPr>
            <w:r>
              <w:rPr>
                <w:rFonts w:ascii="Calibri" w:hAnsi="Calibri"/>
                <w:sz w:val="19"/>
              </w:rPr>
              <w:t xml:space="preserve">Every [1] business day</w:t>
            </w:r>
          </w:p>
        </w:tc>
      </w:tr>
      <w:tr>
        <w:tc>
          <w:tcPr/>
          <w:p>
            <w:pPr>
              <w:pStyle w:val="Compact"/>
              <w:spacing w:after="20" w:before="20"/>
              <w:jc w:val="left"/>
            </w:pPr>
            <w:r>
              <w:rPr>
                <w:bCs/>
                <w:rFonts w:ascii="Calibri" w:hAnsi="Calibri"/>
                <w:b/>
                <w:sz w:val="19"/>
              </w:rPr>
              <w:t xml:space="preserve">3: Medium</w:t>
            </w:r>
          </w:p>
        </w:tc>
        <w:tc>
          <w:tcPr/>
          <w:p>
            <w:pPr>
              <w:pStyle w:val="Compact"/>
              <w:spacing w:after="20" w:before="20"/>
              <w:jc w:val="left"/>
            </w:pPr>
            <w:r>
              <w:rPr>
                <w:rFonts w:ascii="Calibri" w:hAnsi="Calibri"/>
                <w:sz w:val="19"/>
              </w:rPr>
              <w:t xml:space="preserve">A non-core function is affected, with a workaround</w:t>
            </w:r>
          </w:p>
        </w:tc>
        <w:tc>
          <w:tcPr/>
          <w:p>
            <w:pPr>
              <w:pStyle w:val="Compact"/>
              <w:spacing w:after="20" w:before="20"/>
              <w:jc w:val="left"/>
            </w:pPr>
            <w:r>
              <w:rPr>
                <w:rFonts w:ascii="Calibri" w:hAnsi="Calibri"/>
                <w:sz w:val="19"/>
              </w:rPr>
              <w:t xml:space="preserve">[2] business days</w:t>
            </w:r>
          </w:p>
        </w:tc>
        <w:tc>
          <w:tcPr/>
          <w:p>
            <w:pPr>
              <w:pStyle w:val="Compact"/>
              <w:spacing w:after="20" w:before="20"/>
              <w:jc w:val="left"/>
            </w:pPr>
            <w:r>
              <w:rPr>
                <w:rFonts w:ascii="Calibri" w:hAnsi="Calibri"/>
                <w:sz w:val="19"/>
              </w:rPr>
              <w:t xml:space="preserve">[1] business day</w:t>
            </w:r>
          </w:p>
        </w:tc>
        <w:tc>
          <w:tcPr/>
          <w:p>
            <w:pPr>
              <w:pStyle w:val="Compact"/>
              <w:spacing w:after="20" w:before="20"/>
              <w:jc w:val="left"/>
            </w:pPr>
            <w:r>
              <w:rPr>
                <w:rFonts w:ascii="Calibri" w:hAnsi="Calibri"/>
                <w:sz w:val="19"/>
              </w:rPr>
              <w:t xml:space="preserve">Every [3] business days</w:t>
            </w:r>
          </w:p>
        </w:tc>
      </w:tr>
      <w:tr>
        <w:tc>
          <w:tcPr/>
          <w:p>
            <w:pPr>
              <w:pStyle w:val="Compact"/>
              <w:spacing w:after="20" w:before="20"/>
              <w:jc w:val="left"/>
            </w:pPr>
            <w:r>
              <w:rPr>
                <w:bCs/>
                <w:rFonts w:ascii="Calibri" w:hAnsi="Calibri"/>
                <w:b/>
                <w:sz w:val="19"/>
              </w:rPr>
              <w:t xml:space="preserve">4: Low</w:t>
            </w:r>
          </w:p>
        </w:tc>
        <w:tc>
          <w:tcPr/>
          <w:p>
            <w:pPr>
              <w:pStyle w:val="Compact"/>
              <w:spacing w:after="20" w:before="20"/>
              <w:jc w:val="left"/>
            </w:pPr>
            <w:r>
              <w:rPr>
                <w:rFonts w:ascii="Calibri" w:hAnsi="Calibri"/>
                <w:sz w:val="19"/>
              </w:rPr>
              <w:t xml:space="preserve">Question, request for information, or cosmetic issue</w:t>
            </w:r>
          </w:p>
        </w:tc>
        <w:tc>
          <w:tcPr/>
          <w:p>
            <w:pPr>
              <w:pStyle w:val="Compact"/>
              <w:spacing w:after="20" w:before="20"/>
              <w:jc w:val="left"/>
            </w:pPr>
            <w:r>
              <w:rPr>
                <w:rFonts w:ascii="Calibri" w:hAnsi="Calibri"/>
                <w:sz w:val="19"/>
              </w:rPr>
              <w:t xml:space="preserve">[3] business days</w:t>
            </w:r>
          </w:p>
        </w:tc>
        <w:tc>
          <w:tcPr/>
          <w:p>
            <w:pPr>
              <w:pStyle w:val="Compact"/>
              <w:spacing w:after="20" w:before="20"/>
              <w:jc w:val="left"/>
            </w:pPr>
            <w:r>
              <w:rPr>
                <w:rFonts w:ascii="Calibri" w:hAnsi="Calibri"/>
                <w:sz w:val="19"/>
              </w:rPr>
              <w:t xml:space="preserve">[2] business days</w:t>
            </w:r>
          </w:p>
        </w:tc>
        <w:tc>
          <w:tcPr/>
          <w:p>
            <w:pPr>
              <w:pStyle w:val="Compact"/>
              <w:spacing w:after="20" w:before="20"/>
              <w:jc w:val="left"/>
            </w:pPr>
            <w:r>
              <w:rPr>
                <w:rFonts w:ascii="Calibri" w:hAnsi="Calibri"/>
                <w:sz w:val="19"/>
              </w:rPr>
              <w:t xml:space="preserve">As needed</w:t>
            </w:r>
          </w:p>
        </w:tc>
      </w:tr>
    </w:tbl>
    <w:p>
      <w:pPr>
        <w:pStyle w:val="BodyText"/>
      </w:pPr>
      <w:r>
        <w:t xml:space="preserve">Response targets are goals for the time to a first human reply, not time to fix. iDen2 will work on Severity 1 and 2 issues without interruption during support hours (and 24x7 for Severity 1 on Premium) until a fix or workaround is in place.</w:t>
      </w:r>
    </w:p>
    <w:p>
      <w:pPr>
        <w:pStyle w:val="BodyText"/>
      </w:pPr>
      <w:r>
        <w:rPr>
          <w:bCs/>
          <w:b/>
        </w:rPr>
        <w:t xml:space="preserve">3.4 Customer duties.</w:t>
      </w:r>
      <w:r>
        <w:t xml:space="preserve"> </w:t>
      </w:r>
      <w:r>
        <w:t xml:space="preserve">The Customer will give clear details to reproduce an issue, have a technical person available, and try first-level troubleshooting with the Documentation.</w:t>
      </w:r>
    </w:p>
    <w:p>
      <w:pPr>
        <w:pStyle w:val="BodyText"/>
      </w:pPr>
      <w:r>
        <w:rPr>
          <w:bCs/>
          <w:b/>
        </w:rPr>
        <w:t xml:space="preserve">3.5 Not included.</w:t>
      </w:r>
      <w:r>
        <w:t xml:space="preserve"> </w:t>
      </w:r>
      <w:r>
        <w:t xml:space="preserve">Support does not include: training; custom development; fixing problems caused by the Customer’s systems or unsupported use; support for end users and Holders (unless the Order Form says so); or support for pre-release features.</w:t>
      </w:r>
    </w:p>
    <w:bookmarkEnd w:id="26"/>
    <w:bookmarkStart w:id="27" w:name="updates-and-maintenance"/>
    <w:p>
      <w:pPr>
        <w:pStyle w:val="Heading1"/>
      </w:pPr>
      <w:r>
        <w:t xml:space="preserve">4. UPDATES AND MAINTENANCE</w:t>
      </w:r>
    </w:p>
    <w:p>
      <w:pPr>
        <w:pStyle w:val="FirstParagraph"/>
      </w:pPr>
      <w:r>
        <w:t xml:space="preserve">iDen2 will provide updates, fixes, and new versions of subscribed modules at no extra charge during the Subscription Term. iDen2 will keep the previous major API version working for at least [12] months after releasing a new one, except where a security issue requires faster change.</w:t>
      </w:r>
    </w:p>
    <w:bookmarkEnd w:id="27"/>
    <w:bookmarkStart w:id="28" w:name="backup-and-recovery"/>
    <w:p>
      <w:pPr>
        <w:pStyle w:val="Heading1"/>
      </w:pPr>
      <w:r>
        <w:t xml:space="preserve">5. BACKUP AND RECOVERY</w:t>
      </w:r>
    </w:p>
    <w:p>
      <w:pPr>
        <w:pStyle w:val="FirstParagraph"/>
      </w:pPr>
      <w:r>
        <w:t xml:space="preserve">iDen2 will back up production Customer Data at least [daily] and keep backups for at least [30] days. iDen2 targets a recovery time of [24] hours and a recovery point of [24] hours for a major outage. [Confirm against the real backup design before use.]</w:t>
      </w:r>
    </w:p>
    <w:bookmarkEnd w:id="28"/>
    <w:bookmarkStart w:id="29" w:name="reporting"/>
    <w:p>
      <w:pPr>
        <w:pStyle w:val="Heading1"/>
      </w:pPr>
      <w:r>
        <w:t xml:space="preserve">6. REPORTING</w:t>
      </w:r>
    </w:p>
    <w:p>
      <w:pPr>
        <w:pStyle w:val="FirstParagraph"/>
      </w:pPr>
      <w:r>
        <w:t xml:space="preserve">On request, iDen2 will give the Customer a monthly availability and support summary, within [10] business days of month end.</w:t>
      </w:r>
    </w:p>
    <w:bookmarkEnd w:id="29"/>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Service Levels and Support Policy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2026-10-10T22:14:57Z</dcterms:created>
  <dcterms:modified xsi:type="dcterms:W3CDTF">2026-10-10T22:14:57Z</dcterms:modified>
</cp:coreProperties>
</file>

<file path=docProps/custom.xml><?xml version="1.0" encoding="utf-8"?>
<Properties xmlns="http://schemas.openxmlformats.org/officeDocument/2006/custom-properties" xmlns:vt="http://schemas.openxmlformats.org/officeDocument/2006/docPropsVTypes"/>
</file>