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drawing>
          <wp:inline>
            <wp:extent cx="1463040" cy="254969"/>
            <wp:effectExtent b="0" l="0" r="0" t="0"/>
            <wp:docPr descr="" title="" id="21" name="Picture"/>
            <a:graphic>
              <a:graphicData uri="http://schemas.openxmlformats.org/drawingml/2006/picture">
                <pic:pic>
                  <pic:nvPicPr>
                    <pic:cNvPr descr="iden2_logo.png" id="22" name="Picture"/>
                    <pic:cNvPicPr>
                      <a:picLocks noChangeArrowheads="1" noChangeAspect="1"/>
                    </pic:cNvPicPr>
                  </pic:nvPicPr>
                  <pic:blipFill>
                    <a:blip r:embed="rId20"/>
                    <a:stretch>
                      <a:fillRect/>
                    </a:stretch>
                  </pic:blipFill>
                  <pic:spPr bwMode="auto">
                    <a:xfrm>
                      <a:off x="0" y="0"/>
                      <a:ext cx="1463040" cy="254969"/>
                    </a:xfrm>
                    <a:prstGeom prst="rect">
                      <a:avLst/>
                    </a:prstGeom>
                    <a:noFill/>
                    <a:ln w="9525">
                      <a:noFill/>
                      <a:headEnd/>
                      <a:tailEnd/>
                    </a:ln>
                  </pic:spPr>
                </pic:pic>
              </a:graphicData>
            </a:graphic>
          </wp:inline>
        </w:drawing>
      </w:r>
    </w:p>
    <w:bookmarkStart w:id="23" w:name="statement-of-work"/>
    <w:p>
      <w:pPr>
        <w:pStyle w:val="Heading1"/>
      </w:pPr>
      <w:r>
        <w:t xml:space="preserve">STATEMENT OF WORK</w:t>
      </w:r>
    </w:p>
    <w:p>
      <w:pPr>
        <w:pStyle w:val="FirstParagraph"/>
      </w:pPr>
      <w:r>
        <w:rPr>
          <w:bCs/>
          <w:b/>
        </w:rPr>
        <w:t xml:space="preserve">iDen2 Inc. and [CUSTOMER LEGAL NAME]</w:t>
      </w:r>
    </w:p>
    <w:tbl>
      <w:tblPr>
        <w:tblStyle w:val="Table"/>
        <w:tblLook w:firstRow="0" w:lastRow="0" w:firstColumn="0" w:lastColumn="0" w:noHBand="0" w:noVBand="0" w:val="0000"/>
        <w:jc w:val="start"/>
        <w:tblBorders>
          <w:top w:val="single" w:sz="4" w:space="0" w:color="C9CCD1"/>
          <w:left w:val="single" w:sz="4" w:space="0" w:color="C9CCD1"/>
          <w:bottom w:val="single" w:sz="4" w:space="0" w:color="C9CCD1"/>
          <w:right w:val="single" w:sz="4" w:space="0" w:color="C9CCD1"/>
          <w:insideH w:val="single" w:sz="4" w:space="0" w:color="C9CCD1"/>
          <w:insideV w:val="single" w:sz="4" w:space="0" w:color="C9CCD1"/>
        </w:tblBorders>
        <w:tblW w:w="5000" w:type="pct"/>
        <w:tblCellMar>
          <w:top w:w="50" w:type="dxa"/>
          <w:left w:w="90" w:type="dxa"/>
          <w:bottom w:w="50" w:type="dxa"/>
          <w:right w:w="90" w:type="dxa"/>
        </w:tblCellMar>
      </w:tblPr>
      <w:tblGrid>
        <w:gridCol w:w="2736"/>
        <w:gridCol w:w="6623"/>
      </w:tblGrid>
      <w:tr>
        <w:tc>
          <w:tcPr>
            <w:tcW w:type="dxa" w:w="2736"/>
            <w:shd w:val="clear" w:color="auto" w:fill="F4F5F7"/>
          </w:tcPr>
          <w:p>
            <w:pPr>
              <w:pStyle w:val="Compact"/>
              <w:spacing w:after="20" w:before="20"/>
              <w:jc w:val="left"/>
            </w:pPr>
            <w:r>
              <w:rPr>
                <w:bCs/>
                <w:rFonts w:ascii="Calibri" w:hAnsi="Calibri"/>
                <w:b/>
                <w:sz w:val="19"/>
              </w:rPr>
              <w:t xml:space="preserve">SOW Number</w:t>
            </w:r>
          </w:p>
        </w:tc>
        <w:tc>
          <w:tcPr>
            <w:tcW w:type="dxa" w:w="6624"/>
          </w:tcPr>
          <w:p>
            <w:pPr>
              <w:pStyle w:val="Compact"/>
              <w:spacing w:after="20" w:before="20"/>
              <w:jc w:val="left"/>
            </w:pPr>
            <w:r>
              <w:rPr>
                <w:rFonts w:ascii="Calibri" w:hAnsi="Calibri"/>
                <w:sz w:val="19"/>
              </w:rPr>
              <w:t xml:space="preserve">iDen2-[CUSTOMER CODE]-SOW-[YYYY]-[###]</w:t>
            </w:r>
          </w:p>
        </w:tc>
      </w:tr>
      <w:tr>
        <w:tc>
          <w:tcPr>
            <w:tcW w:type="dxa" w:w="2736"/>
            <w:shd w:val="clear" w:color="auto" w:fill="F4F5F7"/>
          </w:tcPr>
          <w:p>
            <w:pPr>
              <w:pStyle w:val="Compact"/>
              <w:spacing w:after="20" w:before="20"/>
              <w:jc w:val="left"/>
            </w:pPr>
            <w:r>
              <w:rPr>
                <w:bCs/>
                <w:rFonts w:ascii="Calibri" w:hAnsi="Calibri"/>
                <w:b/>
                <w:sz w:val="19"/>
              </w:rPr>
              <w:t xml:space="preserve">SOW Date</w:t>
            </w:r>
          </w:p>
        </w:tc>
        <w:tc>
          <w:tcPr>
            <w:tcW w:type="dxa" w:w="6624"/>
          </w:tcPr>
          <w:p>
            <w:pPr>
              <w:pStyle w:val="Compact"/>
              <w:spacing w:after="20" w:before="20"/>
              <w:jc w:val="left"/>
            </w:pPr>
            <w:r>
              <w:rPr>
                <w:rFonts w:ascii="Calibri" w:hAnsi="Calibri"/>
                <w:sz w:val="19"/>
              </w:rPr>
              <w:t xml:space="preserve">[DATE]</w:t>
            </w:r>
          </w:p>
        </w:tc>
      </w:tr>
      <w:tr>
        <w:tc>
          <w:tcPr>
            <w:tcW w:type="dxa" w:w="2736"/>
            <w:shd w:val="clear" w:color="auto" w:fill="F4F5F7"/>
          </w:tcPr>
          <w:p>
            <w:pPr>
              <w:pStyle w:val="Compact"/>
              <w:spacing w:after="20" w:before="20"/>
              <w:jc w:val="left"/>
            </w:pPr>
            <w:r>
              <w:rPr>
                <w:bCs/>
                <w:rFonts w:ascii="Calibri" w:hAnsi="Calibri"/>
                <w:b/>
                <w:sz w:val="19"/>
              </w:rPr>
              <w:t xml:space="preserve">Governing Agreement</w:t>
            </w:r>
          </w:p>
        </w:tc>
        <w:tc>
          <w:tcPr>
            <w:tcW w:type="dxa" w:w="6624"/>
          </w:tcPr>
          <w:p>
            <w:pPr>
              <w:pStyle w:val="Compact"/>
              <w:spacing w:after="20" w:before="20"/>
              <w:jc w:val="left"/>
            </w:pPr>
            <w:r>
              <w:rPr>
                <w:rFonts w:ascii="Calibri" w:hAnsi="Calibri"/>
                <w:sz w:val="19"/>
              </w:rPr>
              <w:t xml:space="preserve">Master Services Agreement dated [DATE], reference [MSA REF]</w:t>
            </w:r>
          </w:p>
        </w:tc>
      </w:tr>
      <w:tr>
        <w:tc>
          <w:tcPr>
            <w:tcW w:type="dxa" w:w="2736"/>
            <w:shd w:val="clear" w:color="auto" w:fill="F4F5F7"/>
          </w:tcPr>
          <w:p>
            <w:pPr>
              <w:pStyle w:val="Compact"/>
              <w:spacing w:after="20" w:before="20"/>
              <w:jc w:val="left"/>
            </w:pPr>
            <w:r>
              <w:rPr>
                <w:bCs/>
                <w:rFonts w:ascii="Calibri" w:hAnsi="Calibri"/>
                <w:b/>
                <w:sz w:val="19"/>
              </w:rPr>
              <w:t xml:space="preserve">Related Order Form</w:t>
            </w:r>
          </w:p>
        </w:tc>
        <w:tc>
          <w:tcPr>
            <w:tcW w:type="dxa" w:w="6624"/>
          </w:tcPr>
          <w:p>
            <w:pPr>
              <w:pStyle w:val="Compact"/>
              <w:spacing w:after="20" w:before="20"/>
              <w:jc w:val="left"/>
            </w:pPr>
            <w:r>
              <w:rPr>
                <w:rFonts w:ascii="Calibri" w:hAnsi="Calibri"/>
                <w:sz w:val="19"/>
              </w:rPr>
              <w:t xml:space="preserve">[OF REF]</w:t>
            </w:r>
          </w:p>
        </w:tc>
      </w:tr>
      <w:tr>
        <w:tc>
          <w:tcPr>
            <w:tcW w:type="dxa" w:w="2736"/>
            <w:shd w:val="clear" w:color="auto" w:fill="F4F5F7"/>
          </w:tcPr>
          <w:p>
            <w:pPr>
              <w:pStyle w:val="Compact"/>
              <w:spacing w:after="20" w:before="20"/>
              <w:jc w:val="left"/>
            </w:pPr>
            <w:r>
              <w:rPr>
                <w:bCs/>
                <w:rFonts w:ascii="Calibri" w:hAnsi="Calibri"/>
                <w:b/>
                <w:sz w:val="19"/>
              </w:rPr>
              <w:t xml:space="preserve">Classification</w:t>
            </w:r>
          </w:p>
        </w:tc>
        <w:tc>
          <w:tcPr>
            <w:tcW w:type="dxa" w:w="6624"/>
          </w:tcPr>
          <w:p>
            <w:pPr>
              <w:pStyle w:val="Compact"/>
              <w:spacing w:after="20" w:before="20"/>
              <w:jc w:val="left"/>
            </w:pPr>
            <w:r>
              <w:rPr>
                <w:rFonts w:ascii="Calibri" w:hAnsi="Calibri"/>
                <w:sz w:val="19"/>
              </w:rPr>
              <w:t xml:space="preserve">CONFIDENTIAL</w:t>
            </w:r>
          </w:p>
        </w:tc>
      </w:tr>
    </w:tbl>
    <w:p>
      <w:pPr>
        <w:pStyle w:val="BlockText"/>
      </w:pPr>
      <w:r>
        <w:rPr>
          <w:bCs/>
          <w:b/>
        </w:rPr>
        <w:t xml:space="preserve">Drafting note (delete before sending):</w:t>
      </w:r>
      <w:r>
        <w:t xml:space="preserve"> </w:t>
      </w:r>
      <w:r>
        <w:t xml:space="preserve">Keep this SOW short. Two to four pages is the target. If the scope needs more than that, put the detail in an attached Statement of Requirements and keep this document as the contract summary. Be exact about what is not included. Most disputes start with what the customer thought was included.</w:t>
      </w:r>
    </w:p>
    <w:bookmarkEnd w:id="23"/>
    <w:bookmarkStart w:id="24" w:name="purpose"/>
    <w:p>
      <w:pPr>
        <w:pStyle w:val="Heading1"/>
      </w:pPr>
      <w:r>
        <w:t xml:space="preserve">1. PURPOSE</w:t>
      </w:r>
    </w:p>
    <w:p>
      <w:pPr>
        <w:pStyle w:val="FirstParagraph"/>
      </w:pPr>
      <w:r>
        <w:t xml:space="preserve">[One or two plain sentences. Example:</w:t>
      </w:r>
      <w:r>
        <w:t xml:space="preserve"> </w:t>
      </w:r>
      <w:r>
        <w:t xml:space="preserve">“</w:t>
      </w:r>
      <w:r>
        <w:t xml:space="preserve">iDen2 will set up the Customer’s credential issuance service for employee ID credentials and connect it to the Customer’s directory.</w:t>
      </w:r>
      <w:r>
        <w:t xml:space="preserve">”</w:t>
      </w:r>
      <w:r>
        <w:t xml:space="preserve">]</w:t>
      </w:r>
    </w:p>
    <w:bookmarkEnd w:id="24"/>
    <w:bookmarkStart w:id="25" w:name="scope-of-work"/>
    <w:p>
      <w:pPr>
        <w:pStyle w:val="Heading1"/>
      </w:pPr>
      <w:r>
        <w:t xml:space="preserve">2. SCOPE OF WORK</w:t>
      </w:r>
    </w:p>
    <w:tbl>
      <w:tblPr>
        <w:tblStyle w:val="Table"/>
        <w:tblLook w:firstRow="1" w:lastRow="0" w:firstColumn="0" w:lastColumn="0" w:noHBand="0" w:noVBand="0" w:val="0020"/>
        <w:jc w:val="start"/>
        <w:tblBorders>
          <w:top w:val="single" w:sz="4" w:space="0" w:color="C9CCD1"/>
          <w:left w:val="single" w:sz="4" w:space="0" w:color="C9CCD1"/>
          <w:bottom w:val="single" w:sz="4" w:space="0" w:color="C9CCD1"/>
          <w:right w:val="single" w:sz="4" w:space="0" w:color="C9CCD1"/>
          <w:insideH w:val="single" w:sz="4" w:space="0" w:color="C9CCD1"/>
          <w:insideV w:val="single" w:sz="4" w:space="0" w:color="C9CCD1"/>
        </w:tblBorders>
        <w:tblW w:w="5000" w:type="pct"/>
        <w:tblCellMar>
          <w:top w:w="50" w:type="dxa"/>
          <w:left w:w="90" w:type="dxa"/>
          <w:bottom w:w="50" w:type="dxa"/>
          <w:right w:w="90" w:type="dxa"/>
        </w:tblCellMar>
      </w:tblPr>
      <w:tblGrid>
        <w:gridCol w:w="2640"/>
        <w:gridCol w:w="2640"/>
        <w:gridCol w:w="2640"/>
      </w:tblGrid>
      <w:tr>
        <w:trPr>
          <w:tblHeader w:val="true"/>
        </w:trPr>
        <w:tc>
          <w:tcPr>
            <w:shd w:val="clear" w:color="auto" w:fill="EFE3FB"/>
          </w:tcPr>
          <w:p>
            <w:pPr>
              <w:pStyle w:val="Compact"/>
              <w:spacing w:after="20" w:before="20"/>
              <w:jc w:val="left"/>
            </w:pPr>
            <w:r>
              <w:rPr>
                <w:rFonts w:ascii="Calibri" w:hAnsi="Calibri"/>
                <w:b/>
                <w:sz w:val="19"/>
              </w:rPr>
              <w:t xml:space="preserve">No.</w:t>
            </w:r>
          </w:p>
        </w:tc>
        <w:tc>
          <w:tcPr>
            <w:shd w:val="clear" w:color="auto" w:fill="EFE3FB"/>
          </w:tcPr>
          <w:p>
            <w:pPr>
              <w:pStyle w:val="Compact"/>
              <w:spacing w:after="20" w:before="20"/>
              <w:jc w:val="left"/>
            </w:pPr>
            <w:r>
              <w:rPr>
                <w:rFonts w:ascii="Calibri" w:hAnsi="Calibri"/>
                <w:b/>
                <w:sz w:val="19"/>
              </w:rPr>
              <w:t xml:space="preserve">Activity</w:t>
            </w:r>
          </w:p>
        </w:tc>
        <w:tc>
          <w:tcPr>
            <w:shd w:val="clear" w:color="auto" w:fill="EFE3FB"/>
          </w:tcPr>
          <w:p>
            <w:pPr>
              <w:pStyle w:val="Compact"/>
              <w:spacing w:after="20" w:before="20"/>
              <w:jc w:val="left"/>
            </w:pPr>
            <w:r>
              <w:rPr>
                <w:rFonts w:ascii="Calibri" w:hAnsi="Calibri"/>
                <w:b/>
                <w:sz w:val="19"/>
              </w:rPr>
              <w:t xml:space="preserve">Description</w:t>
            </w:r>
          </w:p>
        </w:tc>
      </w:tr>
      <w:tr>
        <w:tc>
          <w:tcPr/>
          <w:p>
            <w:pPr>
              <w:pStyle w:val="Compact"/>
              <w:spacing w:after="20" w:before="20"/>
              <w:jc w:val="left"/>
            </w:pPr>
            <w:r>
              <w:rPr>
                <w:rFonts w:ascii="Calibri" w:hAnsi="Calibri"/>
                <w:sz w:val="19"/>
              </w:rPr>
              <w:t xml:space="preserve">1</w:t>
            </w:r>
          </w:p>
        </w:tc>
        <w:tc>
          <w:tcPr/>
          <w:p>
            <w:pPr>
              <w:pStyle w:val="Compact"/>
              <w:spacing w:after="20" w:before="20"/>
              <w:jc w:val="left"/>
            </w:pPr>
            <w:r>
              <w:rPr>
                <w:rFonts w:ascii="Calibri" w:hAnsi="Calibri"/>
                <w:sz w:val="19"/>
              </w:rPr>
              <w:t xml:space="preserve">[Discovery and design]</w:t>
            </w:r>
          </w:p>
        </w:tc>
        <w:tc>
          <w:tcPr/>
          <w:p>
            <w:pPr>
              <w:pStyle w:val="Compact"/>
              <w:spacing w:after="20" w:before="20"/>
              <w:jc w:val="left"/>
            </w:pPr>
            <w:r>
              <w:rPr>
                <w:rFonts w:ascii="Calibri" w:hAnsi="Calibri"/>
                <w:sz w:val="19"/>
              </w:rPr>
              <w:t xml:space="preserve">[What iDen2 will do]</w:t>
            </w:r>
          </w:p>
        </w:tc>
      </w:tr>
      <w:tr>
        <w:tc>
          <w:tcPr/>
          <w:p>
            <w:pPr>
              <w:pStyle w:val="Compact"/>
              <w:spacing w:after="20" w:before="20"/>
              <w:jc w:val="left"/>
            </w:pPr>
            <w:r>
              <w:rPr>
                <w:rFonts w:ascii="Calibri" w:hAnsi="Calibri"/>
                <w:sz w:val="19"/>
              </w:rPr>
              <w:t xml:space="preserve">2</w:t>
            </w:r>
          </w:p>
        </w:tc>
        <w:tc>
          <w:tcPr/>
          <w:p>
            <w:pPr>
              <w:pStyle w:val="Compact"/>
              <w:spacing w:after="20" w:before="20"/>
              <w:jc w:val="left"/>
            </w:pPr>
            <w:r>
              <w:rPr>
                <w:rFonts w:ascii="Calibri" w:hAnsi="Calibri"/>
                <w:sz w:val="19"/>
              </w:rPr>
              <w:t xml:space="preserve">[Configuration]</w:t>
            </w:r>
          </w:p>
        </w:tc>
        <w:tc>
          <w:tcPr/>
          <w:p>
            <w:pPr>
              <w:pStyle w:val="Compact"/>
              <w:spacing w:after="20" w:before="20"/>
              <w:jc w:val="left"/>
            </w:pPr>
            <w:r>
              <w:rPr>
                <w:rFonts w:ascii="Calibri" w:hAnsi="Calibri"/>
                <w:sz w:val="19"/>
              </w:rPr>
              <w:t xml:space="preserve">[ ]</w:t>
            </w:r>
          </w:p>
        </w:tc>
      </w:tr>
      <w:tr>
        <w:tc>
          <w:tcPr/>
          <w:p>
            <w:pPr>
              <w:pStyle w:val="Compact"/>
              <w:spacing w:after="20" w:before="20"/>
              <w:jc w:val="left"/>
            </w:pPr>
            <w:r>
              <w:rPr>
                <w:rFonts w:ascii="Calibri" w:hAnsi="Calibri"/>
                <w:sz w:val="19"/>
              </w:rPr>
              <w:t xml:space="preserve">3</w:t>
            </w:r>
          </w:p>
        </w:tc>
        <w:tc>
          <w:tcPr/>
          <w:p>
            <w:pPr>
              <w:pStyle w:val="Compact"/>
              <w:spacing w:after="20" w:before="20"/>
              <w:jc w:val="left"/>
            </w:pPr>
            <w:r>
              <w:rPr>
                <w:rFonts w:ascii="Calibri" w:hAnsi="Calibri"/>
                <w:sz w:val="19"/>
              </w:rPr>
              <w:t xml:space="preserve">[Integration]</w:t>
            </w:r>
          </w:p>
        </w:tc>
        <w:tc>
          <w:tcPr/>
          <w:p>
            <w:pPr>
              <w:pStyle w:val="Compact"/>
              <w:spacing w:after="20" w:before="20"/>
              <w:jc w:val="left"/>
            </w:pPr>
            <w:r>
              <w:rPr>
                <w:rFonts w:ascii="Calibri" w:hAnsi="Calibri"/>
                <w:sz w:val="19"/>
              </w:rPr>
              <w:t xml:space="preserve">[Name each system, API, or directory]</w:t>
            </w:r>
          </w:p>
        </w:tc>
      </w:tr>
      <w:tr>
        <w:tc>
          <w:tcPr/>
          <w:p>
            <w:pPr>
              <w:pStyle w:val="Compact"/>
              <w:spacing w:after="20" w:before="20"/>
              <w:jc w:val="left"/>
            </w:pPr>
            <w:r>
              <w:rPr>
                <w:rFonts w:ascii="Calibri" w:hAnsi="Calibri"/>
                <w:sz w:val="19"/>
              </w:rPr>
              <w:t xml:space="preserve">4</w:t>
            </w:r>
          </w:p>
        </w:tc>
        <w:tc>
          <w:tcPr/>
          <w:p>
            <w:pPr>
              <w:pStyle w:val="Compact"/>
              <w:spacing w:after="20" w:before="20"/>
              <w:jc w:val="left"/>
            </w:pPr>
            <w:r>
              <w:rPr>
                <w:rFonts w:ascii="Calibri" w:hAnsi="Calibri"/>
                <w:sz w:val="19"/>
              </w:rPr>
              <w:t xml:space="preserve">[Testing and go-live support]</w:t>
            </w:r>
          </w:p>
        </w:tc>
        <w:tc>
          <w:tcPr/>
          <w:p>
            <w:pPr>
              <w:pStyle w:val="Compact"/>
              <w:spacing w:after="20" w:before="20"/>
              <w:jc w:val="left"/>
            </w:pPr>
            <w:r>
              <w:rPr>
                <w:rFonts w:ascii="Calibri" w:hAnsi="Calibri"/>
                <w:sz w:val="19"/>
              </w:rPr>
              <w:t xml:space="preserve">[ ]</w:t>
            </w:r>
          </w:p>
        </w:tc>
      </w:tr>
      <w:tr>
        <w:tc>
          <w:tcPr/>
          <w:p>
            <w:pPr>
              <w:pStyle w:val="Compact"/>
              <w:spacing w:after="20" w:before="20"/>
              <w:jc w:val="left"/>
            </w:pPr>
            <w:r>
              <w:rPr>
                <w:rFonts w:ascii="Calibri" w:hAnsi="Calibri"/>
                <w:sz w:val="19"/>
              </w:rPr>
              <w:t xml:space="preserve">5</w:t>
            </w:r>
          </w:p>
        </w:tc>
        <w:tc>
          <w:tcPr/>
          <w:p>
            <w:pPr>
              <w:pStyle w:val="Compact"/>
              <w:spacing w:after="20" w:before="20"/>
              <w:jc w:val="left"/>
            </w:pPr>
            <w:r>
              <w:rPr>
                <w:rFonts w:ascii="Calibri" w:hAnsi="Calibri"/>
                <w:sz w:val="19"/>
              </w:rPr>
              <w:t xml:space="preserve">[Training]</w:t>
            </w:r>
          </w:p>
        </w:tc>
        <w:tc>
          <w:tcPr/>
          <w:p>
            <w:pPr>
              <w:pStyle w:val="Compact"/>
              <w:spacing w:after="20" w:before="20"/>
              <w:jc w:val="left"/>
            </w:pPr>
            <w:r>
              <w:rPr>
                <w:rFonts w:ascii="Calibri" w:hAnsi="Calibri"/>
                <w:sz w:val="19"/>
              </w:rPr>
              <w:t xml:space="preserve">[Sessions, audience, format]</w:t>
            </w:r>
          </w:p>
        </w:tc>
      </w:tr>
    </w:tbl>
    <w:p>
      <w:pPr>
        <w:pStyle w:val="BodyText"/>
      </w:pPr>
      <w:r>
        <w:rPr>
          <w:bCs/>
          <w:b/>
        </w:rPr>
        <w:t xml:space="preserve">Out of scope.</w:t>
      </w:r>
      <w:r>
        <w:t xml:space="preserve"> </w:t>
      </w:r>
      <w:r>
        <w:t xml:space="preserve">The following are not included unless added by Change Order: [LIST, e.g., changes to the Customer’s own systems; mobile app development; identity proofing; data migration from systems not named above; support after the warranty period; travel].</w:t>
      </w:r>
    </w:p>
    <w:bookmarkEnd w:id="25"/>
    <w:bookmarkStart w:id="26" w:name="deliverables-and-acceptance"/>
    <w:p>
      <w:pPr>
        <w:pStyle w:val="Heading1"/>
      </w:pPr>
      <w:r>
        <w:t xml:space="preserve">3. DELIVERABLES AND ACCEPTANCE</w:t>
      </w:r>
    </w:p>
    <w:tbl>
      <w:tblPr>
        <w:tblStyle w:val="Table"/>
        <w:tblLook w:firstRow="1" w:lastRow="0" w:firstColumn="0" w:lastColumn="0" w:noHBand="0" w:noVBand="0" w:val="0020"/>
        <w:jc w:val="start"/>
        <w:tblBorders>
          <w:top w:val="single" w:sz="4" w:space="0" w:color="C9CCD1"/>
          <w:left w:val="single" w:sz="4" w:space="0" w:color="C9CCD1"/>
          <w:bottom w:val="single" w:sz="4" w:space="0" w:color="C9CCD1"/>
          <w:right w:val="single" w:sz="4" w:space="0" w:color="C9CCD1"/>
          <w:insideH w:val="single" w:sz="4" w:space="0" w:color="C9CCD1"/>
          <w:insideV w:val="single" w:sz="4" w:space="0" w:color="C9CCD1"/>
        </w:tblBorders>
        <w:tblW w:w="5000" w:type="pct"/>
        <w:tblCellMar>
          <w:top w:w="50" w:type="dxa"/>
          <w:left w:w="90" w:type="dxa"/>
          <w:bottom w:w="50" w:type="dxa"/>
          <w:right w:w="90" w:type="dxa"/>
        </w:tblCellMar>
      </w:tblPr>
      <w:tblGrid>
        <w:gridCol w:w="1980"/>
        <w:gridCol w:w="1980"/>
        <w:gridCol w:w="1980"/>
        <w:gridCol w:w="1980"/>
      </w:tblGrid>
      <w:tr>
        <w:trPr>
          <w:tblHeader w:val="true"/>
        </w:trPr>
        <w:tc>
          <w:tcPr>
            <w:shd w:val="clear" w:color="auto" w:fill="EFE3FB"/>
          </w:tcPr>
          <w:p>
            <w:pPr>
              <w:pStyle w:val="Compact"/>
              <w:spacing w:after="20" w:before="20"/>
              <w:jc w:val="left"/>
            </w:pPr>
            <w:r>
              <w:rPr>
                <w:rFonts w:ascii="Calibri" w:hAnsi="Calibri"/>
                <w:b/>
                <w:sz w:val="19"/>
              </w:rPr>
              <w:t xml:space="preserve">No.</w:t>
            </w:r>
          </w:p>
        </w:tc>
        <w:tc>
          <w:tcPr>
            <w:shd w:val="clear" w:color="auto" w:fill="EFE3FB"/>
          </w:tcPr>
          <w:p>
            <w:pPr>
              <w:pStyle w:val="Compact"/>
              <w:spacing w:after="20" w:before="20"/>
              <w:jc w:val="left"/>
            </w:pPr>
            <w:r>
              <w:rPr>
                <w:rFonts w:ascii="Calibri" w:hAnsi="Calibri"/>
                <w:b/>
                <w:sz w:val="19"/>
              </w:rPr>
              <w:t xml:space="preserve">Deliverable</w:t>
            </w:r>
          </w:p>
        </w:tc>
        <w:tc>
          <w:tcPr>
            <w:shd w:val="clear" w:color="auto" w:fill="EFE3FB"/>
          </w:tcPr>
          <w:p>
            <w:pPr>
              <w:pStyle w:val="Compact"/>
              <w:spacing w:after="20" w:before="20"/>
              <w:jc w:val="left"/>
            </w:pPr>
            <w:r>
              <w:rPr>
                <w:rFonts w:ascii="Calibri" w:hAnsi="Calibri"/>
                <w:b/>
                <w:sz w:val="19"/>
              </w:rPr>
              <w:t xml:space="preserve">Acceptance criteria</w:t>
            </w:r>
          </w:p>
        </w:tc>
        <w:tc>
          <w:tcPr>
            <w:shd w:val="clear" w:color="auto" w:fill="EFE3FB"/>
          </w:tcPr>
          <w:p>
            <w:pPr>
              <w:pStyle w:val="Compact"/>
              <w:spacing w:after="20" w:before="20"/>
              <w:jc w:val="left"/>
            </w:pPr>
            <w:r>
              <w:rPr>
                <w:rFonts w:ascii="Calibri" w:hAnsi="Calibri"/>
                <w:b/>
                <w:sz w:val="19"/>
              </w:rPr>
              <w:t xml:space="preserve">Target date</w:t>
            </w:r>
          </w:p>
        </w:tc>
      </w:tr>
      <w:tr>
        <w:tc>
          <w:tcPr/>
          <w:p>
            <w:pPr>
              <w:pStyle w:val="Compact"/>
              <w:spacing w:after="20" w:before="20"/>
              <w:jc w:val="left"/>
            </w:pPr>
            <w:r>
              <w:rPr>
                <w:rFonts w:ascii="Calibri" w:hAnsi="Calibri"/>
                <w:sz w:val="19"/>
              </w:rPr>
              <w:t xml:space="preserve">D1</w:t>
            </w:r>
          </w:p>
        </w:tc>
        <w:tc>
          <w:tcPr/>
          <w:p>
            <w:pPr>
              <w:pStyle w:val="Compact"/>
              <w:spacing w:after="20" w:before="20"/>
              <w:jc w:val="left"/>
            </w:pPr>
            <w:r>
              <w:rPr>
                <w:rFonts w:ascii="Calibri" w:hAnsi="Calibri"/>
                <w:sz w:val="19"/>
              </w:rPr>
              <w:t xml:space="preserve">[Configured issuance environment]</w:t>
            </w:r>
          </w:p>
        </w:tc>
        <w:tc>
          <w:tcPr/>
          <w:p>
            <w:pPr>
              <w:pStyle w:val="Compact"/>
              <w:spacing w:after="20" w:before="20"/>
              <w:jc w:val="left"/>
            </w:pPr>
            <w:r>
              <w:rPr>
                <w:rFonts w:ascii="Calibri" w:hAnsi="Calibri"/>
                <w:sz w:val="19"/>
              </w:rPr>
              <w:t xml:space="preserve">[Measurable test, e.g.,</w:t>
            </w:r>
            <w:r>
              <w:rPr>
                <w:rFonts w:ascii="Calibri" w:hAnsi="Calibri"/>
                <w:sz w:val="19"/>
              </w:rPr>
              <w:t xml:space="preserve"> </w:t>
            </w:r>
            <w:r>
              <w:rPr>
                <w:rFonts w:ascii="Calibri" w:hAnsi="Calibri"/>
                <w:sz w:val="19"/>
              </w:rPr>
              <w:t xml:space="preserve">“</w:t>
            </w:r>
            <w:r>
              <w:rPr>
                <w:rFonts w:ascii="Calibri" w:hAnsi="Calibri"/>
                <w:sz w:val="19"/>
              </w:rPr>
              <w:t xml:space="preserve">Issues a test Credential and verifies it end to end</w:t>
            </w:r>
            <w:r>
              <w:rPr>
                <w:rFonts w:ascii="Calibri" w:hAnsi="Calibri"/>
                <w:sz w:val="19"/>
              </w:rPr>
              <w:t xml:space="preserve">”</w:t>
            </w:r>
            <w:r>
              <w:rPr>
                <w:rFonts w:ascii="Calibri" w:hAnsi="Calibri"/>
                <w:sz w:val="19"/>
              </w:rPr>
              <w:t xml:space="preserve">]</w:t>
            </w:r>
          </w:p>
        </w:tc>
        <w:tc>
          <w:tcPr/>
          <w:p>
            <w:pPr>
              <w:pStyle w:val="Compact"/>
              <w:spacing w:after="20" w:before="20"/>
              <w:jc w:val="left"/>
            </w:pPr>
            <w:r>
              <w:rPr>
                <w:rFonts w:ascii="Calibri" w:hAnsi="Calibri"/>
                <w:sz w:val="19"/>
              </w:rPr>
              <w:t xml:space="preserve">[DATE]</w:t>
            </w:r>
          </w:p>
        </w:tc>
      </w:tr>
      <w:tr>
        <w:tc>
          <w:tcPr/>
          <w:p>
            <w:pPr>
              <w:pStyle w:val="Compact"/>
              <w:spacing w:after="20" w:before="20"/>
              <w:jc w:val="left"/>
            </w:pPr>
            <w:r>
              <w:rPr>
                <w:rFonts w:ascii="Calibri" w:hAnsi="Calibri"/>
                <w:sz w:val="19"/>
              </w:rPr>
              <w:t xml:space="preserve">D2</w:t>
            </w:r>
          </w:p>
        </w:tc>
        <w:tc>
          <w:tcPr/>
          <w:p>
            <w:pPr>
              <w:pStyle w:val="Compact"/>
              <w:spacing w:after="20" w:before="20"/>
              <w:jc w:val="left"/>
            </w:pPr>
            <w:r>
              <w:rPr>
                <w:rFonts w:ascii="Calibri" w:hAnsi="Calibri"/>
                <w:sz w:val="19"/>
              </w:rPr>
              <w:t xml:space="preserve">[Integration with X]</w:t>
            </w:r>
          </w:p>
        </w:tc>
        <w:tc>
          <w:tcPr/>
          <w:p>
            <w:pPr>
              <w:pStyle w:val="Compact"/>
              <w:spacing w:after="20" w:before="20"/>
              <w:jc w:val="left"/>
            </w:pPr>
            <w:r>
              <w:rPr>
                <w:rFonts w:ascii="Calibri" w:hAnsi="Calibri"/>
                <w:sz w:val="19"/>
              </w:rPr>
              <w:t xml:space="preserve">[ ]</w:t>
            </w:r>
          </w:p>
        </w:tc>
        <w:tc>
          <w:tcPr/>
          <w:p>
            <w:pPr>
              <w:pStyle w:val="Compact"/>
              <w:spacing w:after="20" w:before="20"/>
              <w:jc w:val="left"/>
            </w:pPr>
            <w:r>
              <w:rPr>
                <w:rFonts w:ascii="Calibri" w:hAnsi="Calibri"/>
                <w:sz w:val="19"/>
              </w:rPr>
              <w:t xml:space="preserve">[DATE]</w:t>
            </w:r>
          </w:p>
        </w:tc>
      </w:tr>
      <w:tr>
        <w:tc>
          <w:tcPr/>
          <w:p>
            <w:pPr>
              <w:pStyle w:val="Compact"/>
              <w:spacing w:after="20" w:before="20"/>
              <w:jc w:val="left"/>
            </w:pPr>
            <w:r>
              <w:rPr>
                <w:rFonts w:ascii="Calibri" w:hAnsi="Calibri"/>
                <w:sz w:val="19"/>
              </w:rPr>
              <w:t xml:space="preserve">D3</w:t>
            </w:r>
          </w:p>
        </w:tc>
        <w:tc>
          <w:tcPr/>
          <w:p>
            <w:pPr>
              <w:pStyle w:val="Compact"/>
              <w:spacing w:after="20" w:before="20"/>
              <w:jc w:val="left"/>
            </w:pPr>
            <w:r>
              <w:rPr>
                <w:rFonts w:ascii="Calibri" w:hAnsi="Calibri"/>
                <w:sz w:val="19"/>
              </w:rPr>
              <w:t xml:space="preserve">[Admin training delivered]</w:t>
            </w:r>
          </w:p>
        </w:tc>
        <w:tc>
          <w:tcPr/>
          <w:p>
            <w:pPr>
              <w:pStyle w:val="Compact"/>
              <w:spacing w:after="20" w:before="20"/>
              <w:jc w:val="left"/>
            </w:pPr>
            <w:r>
              <w:rPr>
                <w:rFonts w:ascii="Calibri" w:hAnsi="Calibri"/>
                <w:sz w:val="19"/>
              </w:rPr>
              <w:t xml:space="preserve">[ ]</w:t>
            </w:r>
          </w:p>
        </w:tc>
        <w:tc>
          <w:tcPr/>
          <w:p>
            <w:pPr>
              <w:pStyle w:val="Compact"/>
              <w:spacing w:after="20" w:before="20"/>
              <w:jc w:val="left"/>
            </w:pPr>
            <w:r>
              <w:rPr>
                <w:rFonts w:ascii="Calibri" w:hAnsi="Calibri"/>
                <w:sz w:val="19"/>
              </w:rPr>
              <w:t xml:space="preserve">[DATE]</w:t>
            </w:r>
          </w:p>
        </w:tc>
      </w:tr>
    </w:tbl>
    <w:p>
      <w:pPr>
        <w:pStyle w:val="BodyText"/>
      </w:pPr>
      <w:r>
        <w:t xml:space="preserve">Acceptance follows MSA Section 6.3 (10 business days). The Customer signs an Acceptance Certificate (Template 07) for each Deliverable, or gives a written list of specific failures.</w:t>
      </w:r>
    </w:p>
    <w:bookmarkEnd w:id="26"/>
    <w:bookmarkStart w:id="27" w:name="schedule-and-milestones"/>
    <w:p>
      <w:pPr>
        <w:pStyle w:val="Heading1"/>
      </w:pPr>
      <w:r>
        <w:t xml:space="preserve">4. SCHEDULE AND MILESTONES</w:t>
      </w:r>
    </w:p>
    <w:tbl>
      <w:tblPr>
        <w:tblStyle w:val="Table"/>
        <w:tblLook w:firstRow="1" w:lastRow="0" w:firstColumn="0" w:lastColumn="0" w:noHBand="0" w:noVBand="0" w:val="0020"/>
        <w:jc w:val="start"/>
        <w:tblBorders>
          <w:top w:val="single" w:sz="4" w:space="0" w:color="C9CCD1"/>
          <w:left w:val="single" w:sz="4" w:space="0" w:color="C9CCD1"/>
          <w:bottom w:val="single" w:sz="4" w:space="0" w:color="C9CCD1"/>
          <w:right w:val="single" w:sz="4" w:space="0" w:color="C9CCD1"/>
          <w:insideH w:val="single" w:sz="4" w:space="0" w:color="C9CCD1"/>
          <w:insideV w:val="single" w:sz="4" w:space="0" w:color="C9CCD1"/>
        </w:tblBorders>
        <w:tblW w:w="5000" w:type="pct"/>
        <w:tblCellMar>
          <w:top w:w="50" w:type="dxa"/>
          <w:left w:w="90" w:type="dxa"/>
          <w:bottom w:w="50" w:type="dxa"/>
          <w:right w:w="90" w:type="dxa"/>
        </w:tblCellMar>
      </w:tblPr>
      <w:tblGrid>
        <w:gridCol w:w="2640"/>
        <w:gridCol w:w="2640"/>
        <w:gridCol w:w="2640"/>
      </w:tblGrid>
      <w:tr>
        <w:trPr>
          <w:tblHeader w:val="true"/>
        </w:trPr>
        <w:tc>
          <w:tcPr>
            <w:shd w:val="clear" w:color="auto" w:fill="EFE3FB"/>
          </w:tcPr>
          <w:p>
            <w:pPr>
              <w:pStyle w:val="Compact"/>
              <w:spacing w:after="20" w:before="20"/>
              <w:jc w:val="left"/>
            </w:pPr>
            <w:r>
              <w:rPr>
                <w:rFonts w:ascii="Calibri" w:hAnsi="Calibri"/>
                <w:b/>
                <w:sz w:val="19"/>
              </w:rPr>
              <w:t xml:space="preserve">Milestone</w:t>
            </w:r>
          </w:p>
        </w:tc>
        <w:tc>
          <w:tcPr>
            <w:shd w:val="clear" w:color="auto" w:fill="EFE3FB"/>
          </w:tcPr>
          <w:p>
            <w:pPr>
              <w:pStyle w:val="Compact"/>
              <w:spacing w:after="20" w:before="20"/>
              <w:jc w:val="left"/>
            </w:pPr>
            <w:r>
              <w:rPr>
                <w:rFonts w:ascii="Calibri" w:hAnsi="Calibri"/>
                <w:b/>
                <w:sz w:val="19"/>
              </w:rPr>
              <w:t xml:space="preserve">Date</w:t>
            </w:r>
          </w:p>
        </w:tc>
        <w:tc>
          <w:tcPr>
            <w:shd w:val="clear" w:color="auto" w:fill="EFE3FB"/>
          </w:tcPr>
          <w:p>
            <w:pPr>
              <w:pStyle w:val="Compact"/>
              <w:spacing w:after="20" w:before="20"/>
              <w:jc w:val="left"/>
            </w:pPr>
            <w:r>
              <w:rPr>
                <w:rFonts w:ascii="Calibri" w:hAnsi="Calibri"/>
                <w:b/>
                <w:sz w:val="19"/>
              </w:rPr>
              <w:t xml:space="preserve">Depends on</w:t>
            </w:r>
          </w:p>
        </w:tc>
      </w:tr>
      <w:tr>
        <w:tc>
          <w:tcPr/>
          <w:p>
            <w:pPr>
              <w:pStyle w:val="Compact"/>
              <w:spacing w:after="20" w:before="20"/>
              <w:jc w:val="left"/>
            </w:pPr>
            <w:r>
              <w:rPr>
                <w:rFonts w:ascii="Calibri" w:hAnsi="Calibri"/>
                <w:sz w:val="19"/>
              </w:rPr>
              <w:t xml:space="preserve">Kick-off</w:t>
            </w:r>
          </w:p>
        </w:tc>
        <w:tc>
          <w:tcPr/>
          <w:p>
            <w:pPr>
              <w:pStyle w:val="Compact"/>
              <w:spacing w:after="20" w:before="20"/>
              <w:jc w:val="left"/>
            </w:pPr>
            <w:r>
              <w:rPr>
                <w:rFonts w:ascii="Calibri" w:hAnsi="Calibri"/>
                <w:sz w:val="19"/>
              </w:rPr>
              <w:t xml:space="preserve">[DATE]</w:t>
            </w:r>
          </w:p>
        </w:tc>
        <w:tc>
          <w:tcPr/>
          <w:p>
            <w:pPr>
              <w:pStyle w:val="Compact"/>
              <w:spacing w:after="20" w:before="20"/>
              <w:jc w:val="left"/>
            </w:pPr>
            <w:r>
              <w:rPr>
                <w:rFonts w:ascii="Calibri" w:hAnsi="Calibri"/>
                <w:sz w:val="19"/>
              </w:rPr>
              <w:t xml:space="preserve">SOW signed; Customer contacts named</w:t>
            </w:r>
          </w:p>
        </w:tc>
      </w:tr>
      <w:tr>
        <w:tc>
          <w:tcPr/>
          <w:p>
            <w:pPr>
              <w:pStyle w:val="Compact"/>
              <w:spacing w:after="20" w:before="20"/>
              <w:jc w:val="left"/>
            </w:pPr>
            <w:r>
              <w:rPr>
                <w:rFonts w:ascii="Calibri" w:hAnsi="Calibri"/>
                <w:sz w:val="19"/>
              </w:rPr>
              <w:t xml:space="preserve">[Design sign-off]</w:t>
            </w:r>
          </w:p>
        </w:tc>
        <w:tc>
          <w:tcPr/>
          <w:p>
            <w:pPr>
              <w:pStyle w:val="Compact"/>
              <w:spacing w:after="20" w:before="20"/>
              <w:jc w:val="left"/>
            </w:pPr>
            <w:r>
              <w:rPr>
                <w:rFonts w:ascii="Calibri" w:hAnsi="Calibri"/>
                <w:sz w:val="19"/>
              </w:rPr>
              <w:t xml:space="preserve">[DATE]</w:t>
            </w:r>
          </w:p>
        </w:tc>
        <w:tc>
          <w:tcPr/>
          <w:p>
            <w:pPr>
              <w:pStyle w:val="Compact"/>
              <w:spacing w:after="20" w:before="20"/>
              <w:jc w:val="left"/>
            </w:pPr>
            <w:r>
              <w:rPr>
                <w:rFonts w:ascii="Calibri" w:hAnsi="Calibri"/>
                <w:sz w:val="19"/>
              </w:rPr>
              <w:t xml:space="preserve">[Customer decision]</w:t>
            </w:r>
          </w:p>
        </w:tc>
      </w:tr>
      <w:tr>
        <w:tc>
          <w:tcPr/>
          <w:p>
            <w:pPr>
              <w:pStyle w:val="Compact"/>
              <w:spacing w:after="20" w:before="20"/>
              <w:jc w:val="left"/>
            </w:pPr>
            <w:r>
              <w:rPr>
                <w:rFonts w:ascii="Calibri" w:hAnsi="Calibri"/>
                <w:sz w:val="19"/>
              </w:rPr>
              <w:t xml:space="preserve">[Go-live]</w:t>
            </w:r>
          </w:p>
        </w:tc>
        <w:tc>
          <w:tcPr/>
          <w:p>
            <w:pPr>
              <w:pStyle w:val="Compact"/>
              <w:spacing w:after="20" w:before="20"/>
              <w:jc w:val="left"/>
            </w:pPr>
            <w:r>
              <w:rPr>
                <w:rFonts w:ascii="Calibri" w:hAnsi="Calibri"/>
                <w:sz w:val="19"/>
              </w:rPr>
              <w:t xml:space="preserve">[DATE]</w:t>
            </w:r>
          </w:p>
        </w:tc>
        <w:tc>
          <w:tcPr/>
          <w:p>
            <w:pPr>
              <w:pStyle w:val="Compact"/>
              <w:spacing w:after="20" w:before="20"/>
              <w:jc w:val="left"/>
            </w:pPr>
            <w:r>
              <w:rPr>
                <w:rFonts w:ascii="Calibri" w:hAnsi="Calibri"/>
                <w:sz w:val="19"/>
              </w:rPr>
              <w:t xml:space="preserve">[Customer test data and access]</w:t>
            </w:r>
          </w:p>
        </w:tc>
      </w:tr>
    </w:tbl>
    <w:p>
      <w:pPr>
        <w:pStyle w:val="BodyText"/>
      </w:pPr>
      <w:r>
        <w:t xml:space="preserve">Dates are targets and depend on the Customer meeting section 6.</w:t>
      </w:r>
    </w:p>
    <w:bookmarkEnd w:id="27"/>
    <w:bookmarkStart w:id="28" w:name="fees"/>
    <w:p>
      <w:pPr>
        <w:pStyle w:val="Heading1"/>
      </w:pPr>
      <w:r>
        <w:t xml:space="preserve">5. FEES</w:t>
      </w:r>
    </w:p>
    <w:tbl>
      <w:tblPr>
        <w:tblStyle w:val="Table"/>
        <w:tblLook w:firstRow="0" w:lastRow="0" w:firstColumn="0" w:lastColumn="0" w:noHBand="0" w:noVBand="0" w:val="0000"/>
        <w:jc w:val="start"/>
        <w:tblBorders>
          <w:top w:val="single" w:sz="4" w:space="0" w:color="C9CCD1"/>
          <w:left w:val="single" w:sz="4" w:space="0" w:color="C9CCD1"/>
          <w:bottom w:val="single" w:sz="4" w:space="0" w:color="C9CCD1"/>
          <w:right w:val="single" w:sz="4" w:space="0" w:color="C9CCD1"/>
          <w:insideH w:val="single" w:sz="4" w:space="0" w:color="C9CCD1"/>
          <w:insideV w:val="single" w:sz="4" w:space="0" w:color="C9CCD1"/>
        </w:tblBorders>
        <w:tblW w:w="5000" w:type="pct"/>
        <w:tblCellMar>
          <w:top w:w="50" w:type="dxa"/>
          <w:left w:w="90" w:type="dxa"/>
          <w:bottom w:w="50" w:type="dxa"/>
          <w:right w:w="90" w:type="dxa"/>
        </w:tblCellMar>
      </w:tblPr>
      <w:tblGrid>
        <w:gridCol w:w="2736"/>
        <w:gridCol w:w="6623"/>
      </w:tblGrid>
      <w:tr>
        <w:tc>
          <w:tcPr>
            <w:tcW w:type="dxa" w:w="2736"/>
            <w:shd w:val="clear" w:color="auto" w:fill="F4F5F7"/>
          </w:tcPr>
          <w:p>
            <w:pPr>
              <w:pStyle w:val="Compact"/>
              <w:spacing w:after="20" w:before="20"/>
              <w:jc w:val="left"/>
            </w:pPr>
            <w:r>
              <w:rPr>
                <w:bCs/>
                <w:rFonts w:ascii="Calibri" w:hAnsi="Calibri"/>
                <w:b/>
                <w:sz w:val="19"/>
              </w:rPr>
              <w:t xml:space="preserve">Pricing basis</w:t>
            </w:r>
          </w:p>
        </w:tc>
        <w:tc>
          <w:tcPr>
            <w:tcW w:type="dxa" w:w="6624"/>
          </w:tcPr>
          <w:p>
            <w:pPr>
              <w:pStyle w:val="Compact"/>
              <w:spacing w:after="20" w:before="20"/>
              <w:jc w:val="left"/>
            </w:pPr>
            <w:r>
              <w:rPr>
                <w:rFonts w:ascii="Calibri" w:hAnsi="Calibri"/>
                <w:sz w:val="19"/>
              </w:rPr>
              <w:t xml:space="preserve">☐ Fixed fee ☐ Time and materials with a not-to-exceed amount ☐ Milestone-based</w:t>
            </w:r>
          </w:p>
        </w:tc>
      </w:tr>
      <w:tr>
        <w:tc>
          <w:tcPr>
            <w:tcW w:type="dxa" w:w="2736"/>
            <w:shd w:val="clear" w:color="auto" w:fill="F4F5F7"/>
          </w:tcPr>
          <w:p>
            <w:pPr>
              <w:pStyle w:val="Compact"/>
              <w:spacing w:after="20" w:before="20"/>
              <w:jc w:val="left"/>
            </w:pPr>
            <w:r>
              <w:rPr>
                <w:bCs/>
                <w:rFonts w:ascii="Calibri" w:hAnsi="Calibri"/>
                <w:b/>
                <w:sz w:val="19"/>
              </w:rPr>
              <w:t xml:space="preserve">Total fee</w:t>
            </w:r>
          </w:p>
        </w:tc>
        <w:tc>
          <w:tcPr>
            <w:tcW w:type="dxa" w:w="6624"/>
          </w:tcPr>
          <w:p>
            <w:pPr>
              <w:pStyle w:val="Compact"/>
              <w:spacing w:after="20" w:before="20"/>
              <w:jc w:val="left"/>
            </w:pPr>
            <w:r>
              <w:rPr>
                <w:rFonts w:ascii="Calibri" w:hAnsi="Calibri"/>
                <w:sz w:val="19"/>
              </w:rPr>
              <w:t xml:space="preserve">USD [AMOUNT] [Fixed] [OR: estimated USD [AMOUNT], not to exceed USD [AMOUNT] without a Change Order]</w:t>
            </w:r>
          </w:p>
        </w:tc>
      </w:tr>
      <w:tr>
        <w:tc>
          <w:tcPr>
            <w:tcW w:type="dxa" w:w="2736"/>
            <w:shd w:val="clear" w:color="auto" w:fill="F4F5F7"/>
          </w:tcPr>
          <w:p>
            <w:pPr>
              <w:pStyle w:val="Compact"/>
              <w:spacing w:after="20" w:before="20"/>
              <w:jc w:val="left"/>
            </w:pPr>
            <w:r>
              <w:rPr>
                <w:bCs/>
                <w:rFonts w:ascii="Calibri" w:hAnsi="Calibri"/>
                <w:b/>
                <w:sz w:val="19"/>
              </w:rPr>
              <w:t xml:space="preserve">Rate card (if T&amp;M or for changes)</w:t>
            </w:r>
          </w:p>
        </w:tc>
        <w:tc>
          <w:tcPr>
            <w:tcW w:type="dxa" w:w="6624"/>
          </w:tcPr>
          <w:p>
            <w:pPr>
              <w:pStyle w:val="Compact"/>
              <w:spacing w:after="20" w:before="20"/>
              <w:jc w:val="left"/>
            </w:pPr>
            <w:r>
              <w:rPr>
                <w:rFonts w:ascii="Calibri" w:hAnsi="Calibri"/>
                <w:sz w:val="19"/>
              </w:rPr>
              <w:t xml:space="preserve">[ROLE]: USD [RATE] per hour/day. [ROLE]: USD [RATE] per hour/day.</w:t>
            </w:r>
          </w:p>
        </w:tc>
      </w:tr>
      <w:tr>
        <w:tc>
          <w:tcPr>
            <w:tcW w:type="dxa" w:w="2736"/>
            <w:shd w:val="clear" w:color="auto" w:fill="F4F5F7"/>
          </w:tcPr>
          <w:p>
            <w:pPr>
              <w:pStyle w:val="Compact"/>
              <w:spacing w:after="20" w:before="20"/>
              <w:jc w:val="left"/>
            </w:pPr>
            <w:r>
              <w:rPr>
                <w:bCs/>
                <w:rFonts w:ascii="Calibri" w:hAnsi="Calibri"/>
                <w:b/>
                <w:sz w:val="19"/>
              </w:rPr>
              <w:t xml:space="preserve">Invoice schedule</w:t>
            </w:r>
          </w:p>
        </w:tc>
        <w:tc>
          <w:tcPr>
            <w:tcW w:type="dxa" w:w="6624"/>
          </w:tcPr>
          <w:p>
            <w:pPr>
              <w:pStyle w:val="Compact"/>
              <w:spacing w:after="20" w:before="20"/>
              <w:jc w:val="left"/>
            </w:pPr>
            <w:r>
              <w:rPr>
                <w:rFonts w:ascii="Calibri" w:hAnsi="Calibri"/>
                <w:sz w:val="19"/>
              </w:rPr>
              <w:t xml:space="preserve">[e.g., 40% on signing; 40% on D1 acceptance; 20% on go-live]</w:t>
            </w:r>
          </w:p>
        </w:tc>
      </w:tr>
      <w:tr>
        <w:tc>
          <w:tcPr>
            <w:tcW w:type="dxa" w:w="2736"/>
            <w:shd w:val="clear" w:color="auto" w:fill="F4F5F7"/>
          </w:tcPr>
          <w:p>
            <w:pPr>
              <w:pStyle w:val="Compact"/>
              <w:spacing w:after="20" w:before="20"/>
              <w:jc w:val="left"/>
            </w:pPr>
            <w:r>
              <w:rPr>
                <w:bCs/>
                <w:rFonts w:ascii="Calibri" w:hAnsi="Calibri"/>
                <w:b/>
                <w:sz w:val="19"/>
              </w:rPr>
              <w:t xml:space="preserve">Expenses</w:t>
            </w:r>
          </w:p>
        </w:tc>
        <w:tc>
          <w:tcPr>
            <w:tcW w:type="dxa" w:w="6624"/>
          </w:tcPr>
          <w:p>
            <w:pPr>
              <w:pStyle w:val="Compact"/>
              <w:spacing w:after="20" w:before="20"/>
              <w:jc w:val="left"/>
            </w:pPr>
            <w:r>
              <w:rPr>
                <w:rFonts w:ascii="Calibri" w:hAnsi="Calibri"/>
                <w:sz w:val="19"/>
              </w:rPr>
              <w:t xml:space="preserve">Pre-approved travel and expenses at cost (MSA Section 6.4)</w:t>
            </w:r>
          </w:p>
        </w:tc>
      </w:tr>
      <w:tr>
        <w:tc>
          <w:tcPr>
            <w:tcW w:type="dxa" w:w="2736"/>
            <w:shd w:val="clear" w:color="auto" w:fill="F4F5F7"/>
          </w:tcPr>
          <w:p>
            <w:pPr>
              <w:pStyle w:val="Compact"/>
              <w:spacing w:after="20" w:before="20"/>
              <w:jc w:val="left"/>
            </w:pPr>
            <w:r>
              <w:rPr>
                <w:bCs/>
                <w:rFonts w:ascii="Calibri" w:hAnsi="Calibri"/>
                <w:b/>
                <w:sz w:val="19"/>
              </w:rPr>
              <w:t xml:space="preserve">Payment terms</w:t>
            </w:r>
          </w:p>
        </w:tc>
        <w:tc>
          <w:tcPr>
            <w:tcW w:type="dxa" w:w="6624"/>
          </w:tcPr>
          <w:p>
            <w:pPr>
              <w:pStyle w:val="Compact"/>
              <w:spacing w:after="20" w:before="20"/>
              <w:jc w:val="left"/>
            </w:pPr>
            <w:r>
              <w:rPr>
                <w:rFonts w:ascii="Calibri" w:hAnsi="Calibri"/>
                <w:sz w:val="19"/>
              </w:rPr>
              <w:t xml:space="preserve">Net [30] days (MSA Section 7.3)</w:t>
            </w:r>
          </w:p>
        </w:tc>
      </w:tr>
    </w:tbl>
    <w:bookmarkEnd w:id="28"/>
    <w:bookmarkStart w:id="29" w:name="X05f679207fb85fd3707c871b2aecbdf552bba82"/>
    <w:p>
      <w:pPr>
        <w:pStyle w:val="Heading1"/>
      </w:pPr>
      <w:r>
        <w:t xml:space="preserve">6. CUSTOMER RESPONSIBILITIES AND ASSUMPTIONS</w:t>
      </w:r>
    </w:p>
    <w:p>
      <w:pPr>
        <w:pStyle w:val="FirstParagraph"/>
      </w:pPr>
      <w:r>
        <w:t xml:space="preserve">The Customer will:</w:t>
      </w:r>
    </w:p>
    <w:p>
      <w:pPr>
        <w:numPr>
          <w:ilvl w:val="0"/>
          <w:numId w:val="1001"/>
        </w:numPr>
        <w:pStyle w:val="Compact"/>
      </w:pPr>
      <w:r>
        <w:t xml:space="preserve">Name a project lead who can make decisions, and respond to requests within [3] business days.</w:t>
      </w:r>
    </w:p>
    <w:p>
      <w:pPr>
        <w:numPr>
          <w:ilvl w:val="0"/>
          <w:numId w:val="1001"/>
        </w:numPr>
        <w:pStyle w:val="Compact"/>
      </w:pPr>
      <w:r>
        <w:t xml:space="preserve">Provide timely access to systems, test data, environments, people, and approvals needed.</w:t>
      </w:r>
    </w:p>
    <w:p>
      <w:pPr>
        <w:numPr>
          <w:ilvl w:val="0"/>
          <w:numId w:val="1001"/>
        </w:numPr>
        <w:pStyle w:val="Compact"/>
      </w:pPr>
      <w:r>
        <w:t xml:space="preserve">[ADD: e.g., provide a technical contact for each system to be integrated.]</w:t>
      </w:r>
    </w:p>
    <w:p>
      <w:pPr>
        <w:pStyle w:val="FirstParagraph"/>
      </w:pPr>
      <w:r>
        <w:t xml:space="preserve">This SOW assumes: [LIST ASSUMPTIONS, e.g.,</w:t>
      </w:r>
      <w:r>
        <w:t xml:space="preserve"> </w:t>
      </w:r>
      <w:r>
        <w:t xml:space="preserve">“</w:t>
      </w:r>
      <w:r>
        <w:t xml:space="preserve">the Customer’s directory exposes a standard API</w:t>
      </w:r>
      <w:r>
        <w:t xml:space="preserve">”</w:t>
      </w:r>
      <w:r>
        <w:t xml:space="preserve">;</w:t>
      </w:r>
      <w:r>
        <w:t xml:space="preserve"> </w:t>
      </w:r>
      <w:r>
        <w:t xml:space="preserve">“</w:t>
      </w:r>
      <w:r>
        <w:t xml:space="preserve">no more than X credential types</w:t>
      </w:r>
      <w:r>
        <w:t xml:space="preserve">”</w:t>
      </w:r>
      <w:r>
        <w:t xml:space="preserve">;</w:t>
      </w:r>
      <w:r>
        <w:t xml:space="preserve"> </w:t>
      </w:r>
      <w:r>
        <w:t xml:space="preserve">“</w:t>
      </w:r>
      <w:r>
        <w:t xml:space="preserve">work is done remotely</w:t>
      </w:r>
      <w:r>
        <w:t xml:space="preserve">”</w:t>
      </w:r>
      <w:r>
        <w:t xml:space="preserve">;</w:t>
      </w:r>
      <w:r>
        <w:t xml:space="preserve"> </w:t>
      </w:r>
      <w:r>
        <w:t xml:space="preserve">“</w:t>
      </w:r>
      <w:r>
        <w:t xml:space="preserve">the Customer’s environments are ready by [DATE]</w:t>
      </w:r>
      <w:r>
        <w:t xml:space="preserve">”</w:t>
      </w:r>
      <w:r>
        <w:t xml:space="preserve">]. If an assumption is wrong, the schedule and fees may change by Change Order.</w:t>
      </w:r>
    </w:p>
    <w:bookmarkEnd w:id="29"/>
    <w:bookmarkStart w:id="30" w:name="change-control"/>
    <w:p>
      <w:pPr>
        <w:pStyle w:val="Heading1"/>
      </w:pPr>
      <w:r>
        <w:t xml:space="preserve">7. CHANGE CONTROL</w:t>
      </w:r>
    </w:p>
    <w:p>
      <w:pPr>
        <w:pStyle w:val="FirstParagraph"/>
      </w:pPr>
      <w:r>
        <w:t xml:space="preserve">Either party may ask for a change in writing. iDen2 will tell the Customer within [5] business days what effect the change has on scope, schedule, and fees. A change takes effect only when both parties sign a Change Order (Template 06).</w:t>
      </w:r>
    </w:p>
    <w:bookmarkEnd w:id="30"/>
    <w:bookmarkStart w:id="31" w:name="warranty-period"/>
    <w:p>
      <w:pPr>
        <w:pStyle w:val="Heading1"/>
      </w:pPr>
      <w:r>
        <w:t xml:space="preserve">8. WARRANTY PERIOD</w:t>
      </w:r>
    </w:p>
    <w:p>
      <w:pPr>
        <w:pStyle w:val="FirstParagraph"/>
      </w:pPr>
      <w:r>
        <w:t xml:space="preserve">For [30] days after acceptance of a Deliverable, iDen2 will correct, at no extra charge, a failure to meet its acceptance criteria that the Customer reports in writing. This is in addition to the remedy in MSA Section 13.3.</w:t>
      </w:r>
    </w:p>
    <w:bookmarkEnd w:id="31"/>
    <w:bookmarkStart w:id="32" w:name="project-contacts"/>
    <w:p>
      <w:pPr>
        <w:pStyle w:val="Heading1"/>
      </w:pPr>
      <w:r>
        <w:t xml:space="preserve">9. PROJECT CONTACTS</w:t>
      </w:r>
    </w:p>
    <w:tbl>
      <w:tblPr>
        <w:tblStyle w:val="Table"/>
        <w:tblLook w:firstRow="1" w:lastRow="0" w:firstColumn="0" w:lastColumn="0" w:noHBand="0" w:noVBand="0" w:val="0020"/>
        <w:jc w:val="start"/>
        <w:tblBorders>
          <w:top w:val="single" w:sz="4" w:space="0" w:color="C9CCD1"/>
          <w:left w:val="single" w:sz="4" w:space="0" w:color="C9CCD1"/>
          <w:bottom w:val="single" w:sz="4" w:space="0" w:color="C9CCD1"/>
          <w:right w:val="single" w:sz="4" w:space="0" w:color="C9CCD1"/>
          <w:insideH w:val="single" w:sz="4" w:space="0" w:color="C9CCD1"/>
          <w:insideV w:val="single" w:sz="4" w:space="0" w:color="C9CCD1"/>
        </w:tblBorders>
        <w:tblW w:w="5000" w:type="pct"/>
        <w:tblCellMar>
          <w:top w:w="50" w:type="dxa"/>
          <w:left w:w="90" w:type="dxa"/>
          <w:bottom w:w="50" w:type="dxa"/>
          <w:right w:w="90" w:type="dxa"/>
        </w:tblCellMar>
      </w:tblPr>
      <w:tblGrid>
        <w:gridCol w:w="2640"/>
        <w:gridCol w:w="2640"/>
        <w:gridCol w:w="2640"/>
      </w:tblGrid>
      <w:tr>
        <w:trPr>
          <w:tblHeader w:val="true"/>
        </w:trPr>
        <w:tc>
          <w:tcPr>
            <w:shd w:val="clear" w:color="auto" w:fill="EFE3FB"/>
          </w:tcPr>
          <w:p>
            <w:pPr>
              <w:pStyle w:val="Compact"/>
              <w:spacing w:after="20" w:before="20"/>
              <w:jc w:val="left"/>
            </w:pPr>
            <w:r>
              <w:rPr>
                <w:rFonts w:ascii="Calibri" w:hAnsi="Calibri"/>
                <w:b/>
                <w:sz w:val="19"/>
              </w:rPr>
              <w:t xml:space="preserve">Role</w:t>
            </w:r>
          </w:p>
        </w:tc>
        <w:tc>
          <w:tcPr>
            <w:shd w:val="clear" w:color="auto" w:fill="EFE3FB"/>
          </w:tcPr>
          <w:p>
            <w:pPr>
              <w:pStyle w:val="Compact"/>
              <w:spacing w:after="20" w:before="20"/>
              <w:jc w:val="left"/>
            </w:pPr>
            <w:r>
              <w:rPr>
                <w:rFonts w:ascii="Calibri" w:hAnsi="Calibri"/>
                <w:b/>
                <w:sz w:val="19"/>
              </w:rPr>
              <w:t xml:space="preserve">iDen2</w:t>
            </w:r>
          </w:p>
        </w:tc>
        <w:tc>
          <w:tcPr>
            <w:shd w:val="clear" w:color="auto" w:fill="EFE3FB"/>
          </w:tcPr>
          <w:p>
            <w:pPr>
              <w:pStyle w:val="Compact"/>
              <w:spacing w:after="20" w:before="20"/>
              <w:jc w:val="left"/>
            </w:pPr>
            <w:r>
              <w:rPr>
                <w:rFonts w:ascii="Calibri" w:hAnsi="Calibri"/>
                <w:b/>
                <w:sz w:val="19"/>
              </w:rPr>
              <w:t xml:space="preserve">Customer</w:t>
            </w:r>
          </w:p>
        </w:tc>
      </w:tr>
      <w:tr>
        <w:tc>
          <w:tcPr/>
          <w:p>
            <w:pPr>
              <w:pStyle w:val="Compact"/>
              <w:spacing w:after="20" w:before="20"/>
              <w:jc w:val="left"/>
            </w:pPr>
            <w:r>
              <w:rPr>
                <w:rFonts w:ascii="Calibri" w:hAnsi="Calibri"/>
                <w:sz w:val="19"/>
              </w:rPr>
              <w:t xml:space="preserve">Executive sponsor</w:t>
            </w:r>
          </w:p>
        </w:tc>
        <w:tc>
          <w:tcPr/>
          <w:p>
            <w:pPr>
              <w:pStyle w:val="Compact"/>
              <w:spacing w:after="20" w:before="20"/>
              <w:jc w:val="left"/>
            </w:pPr>
            <w:r>
              <w:rPr>
                <w:rFonts w:ascii="Calibri" w:hAnsi="Calibri"/>
                <w:sz w:val="19"/>
              </w:rPr>
              <w:t xml:space="preserve">[NAME]</w:t>
            </w:r>
          </w:p>
        </w:tc>
        <w:tc>
          <w:tcPr/>
          <w:p>
            <w:pPr>
              <w:pStyle w:val="Compact"/>
              <w:spacing w:after="20" w:before="20"/>
              <w:jc w:val="left"/>
            </w:pPr>
            <w:r>
              <w:rPr>
                <w:rFonts w:ascii="Calibri" w:hAnsi="Calibri"/>
                <w:sz w:val="19"/>
              </w:rPr>
              <w:t xml:space="preserve">[NAME]</w:t>
            </w:r>
          </w:p>
        </w:tc>
      </w:tr>
      <w:tr>
        <w:tc>
          <w:tcPr/>
          <w:p>
            <w:pPr>
              <w:pStyle w:val="Compact"/>
              <w:spacing w:after="20" w:before="20"/>
              <w:jc w:val="left"/>
            </w:pPr>
            <w:r>
              <w:rPr>
                <w:rFonts w:ascii="Calibri" w:hAnsi="Calibri"/>
                <w:sz w:val="19"/>
              </w:rPr>
              <w:t xml:space="preserve">Project lead</w:t>
            </w:r>
          </w:p>
        </w:tc>
        <w:tc>
          <w:tcPr/>
          <w:p>
            <w:pPr>
              <w:pStyle w:val="Compact"/>
              <w:spacing w:after="20" w:before="20"/>
              <w:jc w:val="left"/>
            </w:pPr>
            <w:r>
              <w:rPr>
                <w:rFonts w:ascii="Calibri" w:hAnsi="Calibri"/>
                <w:sz w:val="19"/>
              </w:rPr>
              <w:t xml:space="preserve">[NAME, EMAIL]</w:t>
            </w:r>
          </w:p>
        </w:tc>
        <w:tc>
          <w:tcPr/>
          <w:p>
            <w:pPr>
              <w:pStyle w:val="Compact"/>
              <w:spacing w:after="20" w:before="20"/>
              <w:jc w:val="left"/>
            </w:pPr>
            <w:r>
              <w:rPr>
                <w:rFonts w:ascii="Calibri" w:hAnsi="Calibri"/>
                <w:sz w:val="19"/>
              </w:rPr>
              <w:t xml:space="preserve">[NAME, EMAIL]</w:t>
            </w:r>
          </w:p>
        </w:tc>
      </w:tr>
      <w:tr>
        <w:tc>
          <w:tcPr/>
          <w:p>
            <w:pPr>
              <w:pStyle w:val="Compact"/>
              <w:spacing w:after="20" w:before="20"/>
              <w:jc w:val="left"/>
            </w:pPr>
            <w:r>
              <w:rPr>
                <w:rFonts w:ascii="Calibri" w:hAnsi="Calibri"/>
                <w:sz w:val="19"/>
              </w:rPr>
              <w:t xml:space="preserve">Technical lead</w:t>
            </w:r>
          </w:p>
        </w:tc>
        <w:tc>
          <w:tcPr/>
          <w:p>
            <w:pPr>
              <w:pStyle w:val="Compact"/>
              <w:spacing w:after="20" w:before="20"/>
              <w:jc w:val="left"/>
            </w:pPr>
            <w:r>
              <w:rPr>
                <w:rFonts w:ascii="Calibri" w:hAnsi="Calibri"/>
                <w:sz w:val="19"/>
              </w:rPr>
              <w:t xml:space="preserve">[NAME, EMAIL]</w:t>
            </w:r>
          </w:p>
        </w:tc>
        <w:tc>
          <w:tcPr/>
          <w:p>
            <w:pPr>
              <w:pStyle w:val="Compact"/>
              <w:spacing w:after="20" w:before="20"/>
              <w:jc w:val="left"/>
            </w:pPr>
            <w:r>
              <w:rPr>
                <w:rFonts w:ascii="Calibri" w:hAnsi="Calibri"/>
                <w:sz w:val="19"/>
              </w:rPr>
              <w:t xml:space="preserve">[NAME, EMAIL]</w:t>
            </w:r>
          </w:p>
        </w:tc>
      </w:tr>
    </w:tbl>
    <w:bookmarkEnd w:id="32"/>
    <w:bookmarkStart w:id="33" w:name="ownership"/>
    <w:p>
      <w:pPr>
        <w:pStyle w:val="Heading1"/>
      </w:pPr>
      <w:r>
        <w:t xml:space="preserve">10. OWNERSHIP</w:t>
      </w:r>
    </w:p>
    <w:p>
      <w:pPr>
        <w:pStyle w:val="FirstParagraph"/>
      </w:pPr>
      <w:r>
        <w:t xml:space="preserve">Deliverables are licensed under MSA Section 9.6. [OPTION: These Deliverables are Customer-Owned under MSA Section 9.6: [LIST].]</w:t>
      </w:r>
    </w:p>
    <w:bookmarkEnd w:id="33"/>
    <w:bookmarkStart w:id="34" w:name="signatures"/>
    <w:p>
      <w:pPr>
        <w:pStyle w:val="Heading1"/>
      </w:pPr>
      <w:r>
        <w:t xml:space="preserve">SIGNATURES</w:t>
      </w:r>
    </w:p>
    <w:tbl>
      <w:tblPr>
        <w:tblStyle w:val="Table"/>
        <w:tblLook w:firstRow="1" w:lastRow="0" w:firstColumn="0" w:lastColumn="0" w:noHBand="0" w:noVBand="0" w:val="0020"/>
        <w:jc w:val="start"/>
        <w:tblBorders>
          <w:top w:val="single" w:sz="4" w:space="0" w:color="C9CCD1"/>
          <w:left w:val="single" w:sz="4" w:space="0" w:color="C9CCD1"/>
          <w:bottom w:val="single" w:sz="4" w:space="0" w:color="C9CCD1"/>
          <w:right w:val="single" w:sz="4" w:space="0" w:color="C9CCD1"/>
          <w:insideH w:val="single" w:sz="4" w:space="0" w:color="C9CCD1"/>
          <w:insideV w:val="single" w:sz="4" w:space="0" w:color="C9CCD1"/>
        </w:tblBorders>
        <w:tblW w:w="5000" w:type="pct"/>
        <w:tblCellMar>
          <w:top w:w="50" w:type="dxa"/>
          <w:left w:w="90" w:type="dxa"/>
          <w:bottom w:w="50" w:type="dxa"/>
          <w:right w:w="90" w:type="dxa"/>
        </w:tblCellMar>
      </w:tblPr>
      <w:tblGrid>
        <w:gridCol w:w="4680"/>
        <w:gridCol w:w="4680"/>
      </w:tblGrid>
      <w:tr>
        <w:trPr>
          <w:tblHeader w:val="true"/>
        </w:trPr>
        <w:tc>
          <w:tcPr>
            <w:tcW w:type="dxa" w:w="4680"/>
            <w:shd w:val="clear" w:color="auto" w:fill="EFE3FB"/>
          </w:tcPr>
          <w:p>
            <w:pPr>
              <w:pStyle w:val="Compact"/>
              <w:spacing w:after="20" w:before="20"/>
              <w:jc w:val="left"/>
            </w:pPr>
            <w:r>
              <w:rPr>
                <w:bCs/>
                <w:rFonts w:ascii="Calibri" w:hAnsi="Calibri"/>
                <w:b/>
                <w:sz w:val="19"/>
              </w:rPr>
              <w:t xml:space="preserve">iDen2 Inc.</w:t>
            </w:r>
          </w:p>
        </w:tc>
        <w:tc>
          <w:tcPr>
            <w:tcW w:type="dxa" w:w="4680"/>
            <w:shd w:val="clear" w:color="auto" w:fill="EFE3FB"/>
          </w:tcPr>
          <w:p>
            <w:pPr>
              <w:pStyle w:val="Compact"/>
              <w:spacing w:after="20" w:before="20"/>
              <w:jc w:val="left"/>
            </w:pPr>
            <w:r>
              <w:rPr>
                <w:bCs/>
                <w:rFonts w:ascii="Calibri" w:hAnsi="Calibri"/>
                <w:b/>
                <w:sz w:val="19"/>
              </w:rPr>
              <w:t xml:space="preserve">[CUSTOMER LEGAL NAME]</w:t>
            </w:r>
          </w:p>
        </w:tc>
      </w:tr>
      <w:tr>
        <w:tc>
          <w:tcPr>
            <w:tcW w:type="dxa" w:w="4680"/>
          </w:tcPr>
          <w:p>
            <w:pPr>
              <w:pStyle w:val="Compact"/>
              <w:spacing w:after="20" w:before="20"/>
              <w:jc w:val="left"/>
            </w:pPr>
            <w:r>
              <w:rPr>
                <w:rFonts w:ascii="Calibri" w:hAnsi="Calibri"/>
                <w:sz w:val="19"/>
              </w:rPr>
              <w:t xml:space="preserve">Signature:</w:t>
            </w:r>
          </w:p>
        </w:tc>
        <w:tc>
          <w:tcPr>
            <w:tcW w:type="dxa" w:w="4680"/>
          </w:tcPr>
          <w:p>
            <w:pPr>
              <w:pStyle w:val="Compact"/>
              <w:spacing w:after="20" w:before="20"/>
              <w:jc w:val="left"/>
            </w:pPr>
            <w:r>
              <w:rPr>
                <w:rFonts w:ascii="Calibri" w:hAnsi="Calibri"/>
                <w:sz w:val="19"/>
              </w:rPr>
              <w:t xml:space="preserve">Signature:</w:t>
            </w:r>
          </w:p>
        </w:tc>
      </w:tr>
      <w:tr>
        <w:tc>
          <w:tcPr>
            <w:tcW w:type="dxa" w:w="4680"/>
          </w:tcPr>
          <w:p>
            <w:pPr>
              <w:pStyle w:val="Compact"/>
              <w:spacing w:after="20" w:before="20"/>
              <w:jc w:val="left"/>
            </w:pPr>
            <w:r>
              <w:rPr>
                <w:rFonts w:ascii="Calibri" w:hAnsi="Calibri"/>
                <w:sz w:val="19"/>
              </w:rPr>
              <w:t xml:space="preserve">Name:</w:t>
            </w:r>
          </w:p>
        </w:tc>
        <w:tc>
          <w:tcPr>
            <w:tcW w:type="dxa" w:w="4680"/>
          </w:tcPr>
          <w:p>
            <w:pPr>
              <w:pStyle w:val="Compact"/>
              <w:spacing w:after="20" w:before="20"/>
              <w:jc w:val="left"/>
            </w:pPr>
            <w:r>
              <w:rPr>
                <w:rFonts w:ascii="Calibri" w:hAnsi="Calibri"/>
                <w:sz w:val="19"/>
              </w:rPr>
              <w:t xml:space="preserve">Name:</w:t>
            </w:r>
          </w:p>
        </w:tc>
      </w:tr>
      <w:tr>
        <w:tc>
          <w:tcPr>
            <w:tcW w:type="dxa" w:w="4680"/>
          </w:tcPr>
          <w:p>
            <w:pPr>
              <w:pStyle w:val="Compact"/>
              <w:spacing w:after="20" w:before="20"/>
              <w:jc w:val="left"/>
            </w:pPr>
            <w:r>
              <w:rPr>
                <w:rFonts w:ascii="Calibri" w:hAnsi="Calibri"/>
                <w:sz w:val="19"/>
              </w:rPr>
              <w:t xml:space="preserve">Title:</w:t>
            </w:r>
          </w:p>
        </w:tc>
        <w:tc>
          <w:tcPr>
            <w:tcW w:type="dxa" w:w="4680"/>
          </w:tcPr>
          <w:p>
            <w:pPr>
              <w:pStyle w:val="Compact"/>
              <w:spacing w:after="20" w:before="20"/>
              <w:jc w:val="left"/>
            </w:pPr>
            <w:r>
              <w:rPr>
                <w:rFonts w:ascii="Calibri" w:hAnsi="Calibri"/>
                <w:sz w:val="19"/>
              </w:rPr>
              <w:t xml:space="preserve">Title:</w:t>
            </w:r>
          </w:p>
        </w:tc>
      </w:tr>
      <w:tr>
        <w:tc>
          <w:tcPr>
            <w:tcW w:type="dxa" w:w="4680"/>
          </w:tcPr>
          <w:p>
            <w:pPr>
              <w:pStyle w:val="Compact"/>
              <w:spacing w:after="20" w:before="20"/>
              <w:jc w:val="left"/>
            </w:pPr>
            <w:r>
              <w:rPr>
                <w:rFonts w:ascii="Calibri" w:hAnsi="Calibri"/>
                <w:sz w:val="19"/>
              </w:rPr>
              <w:t xml:space="preserve">Date:</w:t>
            </w:r>
          </w:p>
        </w:tc>
        <w:tc>
          <w:tcPr>
            <w:tcW w:type="dxa" w:w="4680"/>
          </w:tcPr>
          <w:p>
            <w:pPr>
              <w:pStyle w:val="Compact"/>
              <w:spacing w:after="20" w:before="20"/>
              <w:jc w:val="left"/>
            </w:pPr>
            <w:r>
              <w:rPr>
                <w:rFonts w:ascii="Calibri" w:hAnsi="Calibri"/>
                <w:sz w:val="19"/>
              </w:rPr>
              <w:t xml:space="preserve">Date:</w:t>
            </w:r>
          </w:p>
        </w:tc>
      </w:tr>
    </w:tbl>
    <w:bookmarkEnd w:id="34"/>
    <w:sectPr>
      <w:footerReference w:type="default" r:id="rId9"/>
      <w:pgSz w:h="15840" w:w="12240"/>
      <w:pgMar w:bottom="1296" w:left="1440" w:right="1440" w:top="129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6F76"/>
        <w:sz w:val="16"/>
      </w:rPr>
      <w:t xml:space="preserve">iDen2 Inc.  |  Statement of Work  |  Confidential  |  Page </w:t>
    </w:r>
    <w:r>
      <w:rPr>
        <w:color w:val="6B6F76"/>
        <w:sz w:val="16"/>
      </w:rPr>
      <w:fldChar w:fldCharType="begin"/>
      <w:instrText xml:space="preserve">PAGE</w:instrText>
      <w:fldChar w:fldCharType="end"/>
    </w:r>
    <w:r>
      <w:rPr>
        <w:color w:val="6B6F76"/>
        <w:sz w:val="16"/>
      </w:rPr>
      <w:t xml:space="preserve"> of </w:t>
    </w:r>
    <w:r>
      <w:rPr>
        <w:color w:val="6B6F76"/>
        <w:sz w:val="16"/>
      </w:rPr>
      <w:fldChar w:fldCharType="begin"/>
      <w:instrText xml:space="preserve">NUMPAGES</w:instrTex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Calibri" w:cs="Calibri" w:eastAsia="Calibri" w:hAnsi="Calibri"/>
      <w:color w:val="1A1A2E"/>
      <w:sz w:val="21"/>
    </w:rPr>
  </w:style>
  <w:style w:styleId="BodyText" w:type="paragraph">
    <w:name w:val="Body Text"/>
    <w:basedOn w:val="Normal"/>
    <w:link w:val="BodyTextChar"/>
    <w:pPr>
      <w:spacing w:after="120" w:before="0" w:line="259" w:lineRule="auto"/>
    </w:pPr>
    <w:qFormat/>
    <w:rPr>
      <w:rFonts w:ascii="Calibri" w:cs="Calibri" w:eastAsia="Calibri" w:hAnsi="Calibri"/>
      <w:color w:val="1A1A2E"/>
      <w:sz w:val="21"/>
    </w:rPr>
  </w:style>
  <w:style w:customStyle="1" w:styleId="FirstParagraph" w:type="paragraph">
    <w:name w:val="First Paragraph"/>
    <w:basedOn w:val="BodyText"/>
    <w:next w:val="BodyText"/>
    <w:qFormat/>
    <w:pPr>
      <w:spacing w:after="120" w:before="0" w:line="259" w:lineRule="auto"/>
    </w:pPr>
    <w:rPr>
      <w:rFonts w:ascii="Calibri" w:cs="Calibri" w:eastAsia="Calibri" w:hAnsi="Calibri"/>
      <w:color w:val="1A1A2E"/>
      <w:sz w:val="21"/>
    </w:rPr>
  </w:style>
  <w:style w:customStyle="1" w:styleId="Compact" w:type="paragraph">
    <w:name w:val="Compact"/>
    <w:basedOn w:val="BodyText"/>
    <w:qFormat/>
    <w:pPr>
      <w:spacing w:after="40" w:before="36"/>
    </w:pPr>
    <w:rPr>
      <w:rFonts w:ascii="Calibri" w:cs="Calibri" w:eastAsia="Calibri" w:hAnsi="Calibri"/>
      <w:color w:val="1A1A2E"/>
      <w:sz w:val="21"/>
    </w:r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120" w:before="320"/>
      <w:outlineLvl w:val="0"/>
    </w:pPr>
    <w:rPr>
      <w:rFonts w:ascii="Calibri" w:cs="Calibri" w:eastAsia="Calibri" w:hAnsi="Calibri"/>
      <w:b/>
      <w:bCs/>
      <w:i w:val="0"/>
      <w:color w:val="8A2EE5"/>
      <w:sz w:val="28"/>
      <w:szCs w:val="32"/>
    </w:rPr>
  </w:style>
  <w:style w:styleId="Heading2" w:type="paragraph">
    <w:name w:val="Heading 2"/>
    <w:basedOn w:val="Normal"/>
    <w:next w:val="BodyText"/>
    <w:uiPriority w:val="9"/>
    <w:unhideWhenUsed/>
    <w:qFormat/>
    <w:pPr>
      <w:keepNext/>
      <w:keepLines/>
      <w:spacing w:after="80" w:before="240"/>
      <w:outlineLvl w:val="1"/>
    </w:pPr>
    <w:rPr>
      <w:rFonts w:ascii="Calibri" w:cs="Calibri" w:eastAsia="Calibri" w:hAnsi="Calibri"/>
      <w:b/>
      <w:bCs/>
      <w:i w:val="0"/>
      <w:color w:val="8A2EE5"/>
      <w:sz w:val="24"/>
      <w:szCs w:val="28"/>
    </w:rPr>
  </w:style>
  <w:style w:styleId="Heading3" w:type="paragraph">
    <w:name w:val="Heading 3"/>
    <w:basedOn w:val="Normal"/>
    <w:next w:val="BodyText"/>
    <w:uiPriority w:val="9"/>
    <w:unhideWhenUsed/>
    <w:qFormat/>
    <w:pPr>
      <w:keepNext/>
      <w:keepLines/>
      <w:spacing w:after="60" w:before="200"/>
      <w:outlineLvl w:val="2"/>
    </w:pPr>
    <w:rPr>
      <w:rFonts w:ascii="Calibri" w:cs="Calibri" w:eastAsia="Calibri" w:hAnsi="Calibri"/>
      <w:b/>
      <w:bCs/>
      <w:i w:val="0"/>
      <w:color w:val="1A1A2E"/>
      <w:sz w:val="22"/>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60" w:before="120"/>
      <w:ind w:firstLine="0" w:left="144" w:right="144"/>
      <w:shd w:fill="FFF6D6" w:val="clear"/>
      <w:pBdr>
        <w:top w:color="E0B400" w:space="4" w:sz="6" w:val="single"/>
        <w:left w:color="E0B400" w:space="4" w:sz="24" w:val="single"/>
        <w:bottom w:color="E0B400" w:space="4" w:sz="6" w:val="single"/>
        <w:right w:color="E0B400" w:space="4" w:sz="6" w:val="single"/>
      </w:pBdr>
    </w:pPr>
    <w:rPr>
      <w:rFonts w:ascii="Calibri" w:cs="Calibri" w:eastAsia="Calibri" w:hAnsi="Calibri"/>
      <w:i/>
      <w:color w:val="4A3B00"/>
      <w:sz w:val="19"/>
    </w:r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0" Type="http://schemas.openxmlformats.org/officeDocument/2006/relationships/image" Target="media/rId20.png"/><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2026-10-10T22:14:57Z</dcterms:created>
  <dcterms:modified xsi:type="dcterms:W3CDTF">2026-10-10T22:14:57Z</dcterms:modified>
</cp:coreProperties>
</file>

<file path=docProps/custom.xml><?xml version="1.0" encoding="utf-8"?>
<Properties xmlns="http://schemas.openxmlformats.org/officeDocument/2006/custom-properties" xmlns:vt="http://schemas.openxmlformats.org/officeDocument/2006/docPropsVTypes"/>
</file>